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55854-2022 i Sundsvalls kommun</w:t>
      </w:r>
    </w:p>
    <w:p>
      <w:r>
        <w:t>Denna tillsynsbegäran behandlar höga naturvärden i avverkningsanmälan A 55854-2022 i Sundsvalls kommun som inkom 2022-11-21 och omfattar 3,8 ha.</w:t>
      </w:r>
    </w:p>
    <w:p>
      <w:pPr>
        <w:pStyle w:val="Caption"/>
      </w:pPr>
      <w:r>
        <w:drawing>
          <wp:inline xmlns:a="http://schemas.openxmlformats.org/drawingml/2006/main" xmlns:pic="http://schemas.openxmlformats.org/drawingml/2006/picture">
            <wp:extent cx="5486400" cy="4817097"/>
            <wp:docPr id="1" name="Picture 1"/>
            <wp:cNvGraphicFramePr>
              <a:graphicFrameLocks noChangeAspect="1"/>
            </wp:cNvGraphicFramePr>
            <a:graphic>
              <a:graphicData uri="http://schemas.openxmlformats.org/drawingml/2006/picture">
                <pic:pic>
                  <pic:nvPicPr>
                    <pic:cNvPr id="0" name="A 55854-2022 karta.png"/>
                    <pic:cNvPicPr/>
                  </pic:nvPicPr>
                  <pic:blipFill>
                    <a:blip r:embed="rId16"/>
                    <a:stretch>
                      <a:fillRect/>
                    </a:stretch>
                  </pic:blipFill>
                  <pic:spPr>
                    <a:xfrm>
                      <a:off x="0" y="0"/>
                      <a:ext cx="5486400" cy="481709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6925507, E 626671 i SWEREF 99 TM.</w:t>
      </w:r>
    </w:p>
    <w:p>
      <w:r>
        <w:t>I och inom 25 meter från avverkningsanmälan finns fynd av 8 naturvårdsarter, varav 7 är rödlistade, 2 är fridlysta och 2 är typiska (T): pärluggla (EN, T, §4), sanddraba (VU), backruta (NT), rödprick (NT), slåtterfibbla (NT, T), sminkrot (NT), vårstarr (NT)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Rödprick (NT)</w:t>
      </w:r>
      <w:r>
        <w:t xml:space="preserve"> är en fläcklav som påträffats på gråal, ask och ek i ädellövskogar med lång trädkontinuitet och hög luftfuktighet. Avverkning av skogar med lång trädkontinuitet är ett hot. Samtliga förekomster måste skyddas. Arten bör eftersökas i Medelpad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