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16388-2023 i Sundsvalls kommun</w:t>
      </w:r>
    </w:p>
    <w:p>
      <w:r>
        <w:t>Denna tillsynsbegäran behandlar höga naturvärden i avverkningsanmälan A 16388-2023 i Sundsvalls kommun som inkom 2023-04-06 och omfattar 10,1 ha.</w:t>
      </w:r>
    </w:p>
    <w:p>
      <w:pPr>
        <w:pStyle w:val="Caption"/>
      </w:pPr>
      <w:r>
        <w:drawing>
          <wp:inline xmlns:a="http://schemas.openxmlformats.org/drawingml/2006/main" xmlns:pic="http://schemas.openxmlformats.org/drawingml/2006/picture">
            <wp:extent cx="4740495" cy="5724000"/>
            <wp:docPr id="1" name="Picture 1"/>
            <wp:cNvGraphicFramePr>
              <a:graphicFrameLocks noChangeAspect="1"/>
            </wp:cNvGraphicFramePr>
            <a:graphic>
              <a:graphicData uri="http://schemas.openxmlformats.org/drawingml/2006/picture">
                <pic:pic>
                  <pic:nvPicPr>
                    <pic:cNvPr id="0" name="A 16388-2023 karta.png"/>
                    <pic:cNvPicPr/>
                  </pic:nvPicPr>
                  <pic:blipFill>
                    <a:blip r:embed="rId16"/>
                    <a:stretch>
                      <a:fillRect/>
                    </a:stretch>
                  </pic:blipFill>
                  <pic:spPr>
                    <a:xfrm>
                      <a:off x="0" y="0"/>
                      <a:ext cx="4740495" cy="5724000"/>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6898454, E 621666 i SWEREF 99 TM.</w:t>
      </w:r>
    </w:p>
    <w:p>
      <w:r>
        <w:t>I och inom 2 meter från avverkningsanmälan finns fynd av 17 naturvårdsarter, varav 13 är rödlistade, 2 är fridlysta, 15 är typiska (T) och 4 är signalarter (S): aspgelélav (VU, T), garnlav (VU, T), knärot (VU, T, §8), doftskinn (NT, T), kattfotslav (NT, T), kötticka (NT), lunglav (NT, T), orange taggsvamp (NT, T), rosenticka (NT, T), tretåig hackspett (NT, T, §4), ullticka (NT, T), vedskivlav (NT, T), violettgrå tagellav (NT, T), björksplintborre (S), rostfläck (S, T), stor aspticka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6.08 ha med buffertzonerna och får av detta skäl inte avverkas.</w:t>
      </w:r>
    </w:p>
    <w:p>
      <w:pPr>
        <w:pStyle w:val="Caption"/>
      </w:pPr>
      <w:r>
        <w:drawing>
          <wp:inline xmlns:a="http://schemas.openxmlformats.org/drawingml/2006/main" xmlns:pic="http://schemas.openxmlformats.org/drawingml/2006/picture">
            <wp:extent cx="5486400" cy="9664300"/>
            <wp:docPr id="2" name="Picture 2"/>
            <wp:cNvGraphicFramePr>
              <a:graphicFrameLocks noChangeAspect="1"/>
            </wp:cNvGraphicFramePr>
            <a:graphic>
              <a:graphicData uri="http://schemas.openxmlformats.org/drawingml/2006/picture">
                <pic:pic>
                  <pic:nvPicPr>
                    <pic:cNvPr id="0" name="A 16388-2023 karta knärot.png"/>
                    <pic:cNvPicPr/>
                  </pic:nvPicPr>
                  <pic:blipFill>
                    <a:blip r:embed="rId17"/>
                    <a:stretch>
                      <a:fillRect/>
                    </a:stretch>
                  </pic:blipFill>
                  <pic:spPr>
                    <a:xfrm>
                      <a:off x="0" y="0"/>
                      <a:ext cx="5486400" cy="96643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6898454, E 621666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aspgelélav (VU, T), garnlav (VU, T), knärot (VU, T, §8), doftskinn (NT, T), kattfotslav (NT, T), lunglav (NT, T), orange taggsvamp (NT, T), rosenticka (NT, T), tretåig hackspett (NT, T, §4), ullticka (NT, T), vedskivlav (NT, T), violettgrå tagellav (NT, T), rostfläck (S, T), stor aspticka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