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47177-2024 i Sundsvalls kommun</w:t>
      </w:r>
    </w:p>
    <w:p>
      <w:r>
        <w:t>Denna tillsynsbegäran behandlar höga naturvärden i avverkningsanmälan A 47177-2024 i Sundsvalls kommun som inkom 2024-10-21 och omfattar 12,3 ha.</w:t>
      </w:r>
    </w:p>
    <w:p>
      <w:pPr>
        <w:pStyle w:val="Caption"/>
      </w:pPr>
      <w:r>
        <w:drawing>
          <wp:inline xmlns:a="http://schemas.openxmlformats.org/drawingml/2006/main" xmlns:pic="http://schemas.openxmlformats.org/drawingml/2006/picture">
            <wp:extent cx="5486400" cy="4619625"/>
            <wp:docPr id="1" name="Picture 1"/>
            <wp:cNvGraphicFramePr>
              <a:graphicFrameLocks noChangeAspect="1"/>
            </wp:cNvGraphicFramePr>
            <a:graphic>
              <a:graphicData uri="http://schemas.openxmlformats.org/drawingml/2006/picture">
                <pic:pic>
                  <pic:nvPicPr>
                    <pic:cNvPr id="0" name="A 47177-2024 karta.png"/>
                    <pic:cNvPicPr/>
                  </pic:nvPicPr>
                  <pic:blipFill>
                    <a:blip r:embed="rId16"/>
                    <a:stretch>
                      <a:fillRect/>
                    </a:stretch>
                  </pic:blipFill>
                  <pic:spPr>
                    <a:xfrm>
                      <a:off x="0" y="0"/>
                      <a:ext cx="5486400" cy="4619625"/>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6938030, E 587027 i SWEREF 99 TM.</w:t>
      </w:r>
    </w:p>
    <w:p>
      <w:r>
        <w:t>I och inom 23 meter från avverkningsanmälan finns fynd av 30 naturvårdsarter, varav 14 är rödlistade, 6 är fridlysta, 27 är typiska (T) och 11 är signalarter (S): garnlav (VU, T), gränsticka (VU, T), knärot (VU, T, §8), ostticka (VU, T), doftskinn (NT, T), gammelgransskål (NT, T), kattfotslav (NT, T), lunglav (NT, T), rosenticka (NT, T), rynkskinn (NT, T), tretåig hackspett (NT, T, §4), ullticka (NT, T), violettgrå tagellav (NT, T), vitgrynig nållav (NT), bronshjon (S, T), bårdlav (S, T), gulnål (S, T), korallblylav (S, T), luddlav (S, T), nästlav (S, T), skinnlav (S, T), spindelblomster (S, T, §8), stuplav (S, T), trådticka (S, T), vedticka (S, T), ekbräken (T), linnea (T), spillkråka (T, §4), fläcknycklar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10 fyndplatser för knärot registrerade på Artportalen. Figur 2 visar gränserna för buffertzoner på 50 m, som behöver lämnas kring fyndplatserna för att knärotslokalerna inte ska försvinna vid en avverkning. Av det avverkningsanmälda området överlappar 4.50 ha med buffertzonerna och får av detta skäl inte avverkas.</w:t>
      </w:r>
    </w:p>
    <w:p>
      <w:pPr>
        <w:pStyle w:val="Caption"/>
      </w:pPr>
      <w:r>
        <w:drawing>
          <wp:inline xmlns:a="http://schemas.openxmlformats.org/drawingml/2006/main" xmlns:pic="http://schemas.openxmlformats.org/drawingml/2006/picture">
            <wp:extent cx="5486400" cy="5919697"/>
            <wp:docPr id="2" name="Picture 2"/>
            <wp:cNvGraphicFramePr>
              <a:graphicFrameLocks noChangeAspect="1"/>
            </wp:cNvGraphicFramePr>
            <a:graphic>
              <a:graphicData uri="http://schemas.openxmlformats.org/drawingml/2006/picture">
                <pic:pic>
                  <pic:nvPicPr>
                    <pic:cNvPr id="0" name="A 47177-2024 karta knärot.png"/>
                    <pic:cNvPicPr/>
                  </pic:nvPicPr>
                  <pic:blipFill>
                    <a:blip r:embed="rId17"/>
                    <a:stretch>
                      <a:fillRect/>
                    </a:stretch>
                  </pic:blipFill>
                  <pic:spPr>
                    <a:xfrm>
                      <a:off x="0" y="0"/>
                      <a:ext cx="5486400" cy="591969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6938030, E 587027 i SWEREF 99 TM.</w:t>
      </w:r>
    </w:p>
    <w:p>
      <w:r>
        <w:rPr>
          <w:b/>
        </w:rPr>
        <w:t xml:space="preserve">Ostticka (VU) </w:t>
      </w:r>
      <w:r>
        <w:t xml:space="preserve">växer huvudsakligen på grova granlågor i urskogsartad barrskog. Växtplatserna ligger vanligtvis i brandrefugiala områden med relativt hög luftfuktighet där skogen under lång tid haft en intern beståndsdynamik med successivt avdöende träd. Alla skogsskötselåtgärder på eller i omedelbar närhet av lokalerna inverkar negativt på artens fortlevnad. Ostticka är typisk art för </w:t>
      </w:r>
      <w:r>
        <w:rPr>
          <w:i/>
        </w:rPr>
        <w:t xml:space="preserve">9010 Taiga </w:t>
      </w:r>
      <w:r>
        <w:t xml:space="preserve">och </w:t>
      </w:r>
      <w:r>
        <w:rPr>
          <w:i/>
        </w:rPr>
        <w:t>9030 Landhöjningsskog</w:t>
      </w:r>
      <w:r>
        <w:t xml:space="preserve"> (SLU Artdatabanken, 2024; Nitare &amp; Skogsstyrelsen, 2019).</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Ekbräken </w:t>
      </w:r>
      <w:r>
        <w:t xml:space="preserve">är typisk art för </w:t>
      </w:r>
      <w:r>
        <w:rPr>
          <w:i/>
        </w:rPr>
        <w:t>9050 Näringsrik granskog</w:t>
      </w:r>
      <w:r>
        <w:t xml:space="preserve"> (SLU Artdatabanken, 2025).</w:t>
      </w:r>
    </w:p>
    <w:p>
      <w:r>
        <w:rPr>
          <w:b/>
        </w:rPr>
        <w:t xml:space="preserve">Linnea </w:t>
      </w:r>
      <w:r>
        <w:t xml:space="preserve">är typisk art för </w:t>
      </w:r>
      <w:r>
        <w:rPr>
          <w:i/>
        </w:rPr>
        <w:t>9010 Taiga</w:t>
      </w:r>
      <w:r>
        <w:t>. På linnea kan man hitta sporsäcksvampen linnealudd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gränsticka (VU, T), knärot (VU, T, §8), ostticka (VU, T), doftskinn (NT, T), gammelgransskål (NT, T), kattfotslav (NT, T), lunglav (NT, T), rosenticka (NT, T), rynkskinn (NT, T), tretåig hackspett (NT, T, §4), ullticka (NT, T), violettgrå tagellav (NT, T), bronshjon (S, T), bårdlav (S, T), gulnål (S, T), korallblylav (S, T), luddlav (S, T), nästlav (S, T), skinnlav (S, T), spindelblomster (S, T, §8), stuplav (S, T), trådticka (S, T), vedticka (S, T), ekbräken (T), linnea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