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53105-2025 i Sundsvalls kommun</w:t>
      </w:r>
    </w:p>
    <w:p>
      <w:r>
        <w:t>Detta klagomål behandlar höga naturvärden i avverkningsanmälan A 53105-2025 i Sundsvalls kommun som inkom 2025-10-28 och omfattar 1,8 ha.</w:t>
      </w:r>
    </w:p>
    <w:p>
      <w:pPr>
        <w:pStyle w:val="Caption"/>
      </w:pPr>
      <w:r>
        <w:drawing>
          <wp:inline xmlns:a="http://schemas.openxmlformats.org/drawingml/2006/main" xmlns:pic="http://schemas.openxmlformats.org/drawingml/2006/picture">
            <wp:extent cx="5486400" cy="3557676"/>
            <wp:docPr id="1" name="Picture 1"/>
            <wp:cNvGraphicFramePr>
              <a:graphicFrameLocks noChangeAspect="1"/>
            </wp:cNvGraphicFramePr>
            <a:graphic>
              <a:graphicData uri="http://schemas.openxmlformats.org/drawingml/2006/picture">
                <pic:pic>
                  <pic:nvPicPr>
                    <pic:cNvPr id="0" name="A 53105-2025 karta.png"/>
                    <pic:cNvPicPr/>
                  </pic:nvPicPr>
                  <pic:blipFill>
                    <a:blip r:embed="rId16"/>
                    <a:stretch>
                      <a:fillRect/>
                    </a:stretch>
                  </pic:blipFill>
                  <pic:spPr>
                    <a:xfrm>
                      <a:off x="0" y="0"/>
                      <a:ext cx="5486400" cy="3557676"/>
                    </a:xfrm>
                    <a:prstGeom prst="rect"/>
                  </pic:spPr>
                </pic:pic>
              </a:graphicData>
            </a:graphic>
          </wp:inline>
        </w:drawing>
      </w:r>
    </w:p>
    <w:p>
      <w:pPr>
        <w:pStyle w:val="Caption"/>
        <w:spacing w:after="240"/>
      </w:pPr>
      <w:r>
        <w:t>Figur 1. Fyndplatser för naturvårdsarter inom 25 meter från avverkningsanmälan. Markörer utan svart kant är placerade på fyndplatsen. Markörer med svart kant är placerade vid sidan av fyndplatsen har ett svart streck som visar fyndplatsens exakta position. Kartans mittpunktskoordinat är N 6902105, E 573117 i SWEREF 99 TM.</w:t>
      </w:r>
    </w:p>
    <w:p>
      <w:r>
        <w:t>Inom 25 meter från avverkningsanmälan finns fynd av 5 naturvårdsarter, varav 2 är rödlistade, 1 är fridlyst, 5 är typiska (T) och 2 är signalarter (S): lunglav (NT, T), ullticka (NT, T), barkkornlav (S, T), stuplav (S, T) och tjäder (T,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Barkkornlav</w:t>
      </w:r>
      <w:r>
        <w:t xml:space="preserve"> växer på bark av bl.a. gran, ek, al, asp, rönn, sälg och en i ädellövskogar, granskogar, barr- och lövblandskogar med hög luftfuktighet. Barkkornlav är typisk art för </w:t>
      </w:r>
      <w:r>
        <w:rPr>
          <w:i/>
        </w:rPr>
        <w:t>9190 Näringsfattig ekskog</w:t>
      </w:r>
      <w:r>
        <w:t xml:space="preserve"> (SLU Artdatabanken, 2025).</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Ytterligare tre sällsynta lavparasiter, </w:t>
      </w:r>
      <w:r>
        <w:rPr>
          <w:i/>
        </w:rPr>
        <w:t>Protounguicularia nephromatis</w:t>
      </w:r>
      <w:r>
        <w:t xml:space="preserve"> (VU), </w:t>
      </w:r>
      <w:r>
        <w:rPr>
          <w:i/>
        </w:rPr>
        <w:t>Refractohilum galligenum</w:t>
      </w:r>
      <w:r>
        <w:t xml:space="preserve"> (NT) och </w:t>
      </w:r>
      <w:r>
        <w:rPr>
          <w:i/>
        </w:rPr>
        <w:t>Roselliniella nephromatis</w:t>
      </w:r>
      <w:r>
        <w:t xml:space="preserve"> (DD), kan också påträffas på stuplav. Stuplav är typisk art för </w:t>
      </w:r>
      <w:r>
        <w:rPr>
          <w:i/>
        </w:rPr>
        <w:t>9010 Taiga</w:t>
      </w:r>
      <w:r>
        <w:t xml:space="preserve"> (SLU Artdatabanken, 2026; Nitare &amp; Skogsstyrelsen, 2019).</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5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w:t>
        <w:br/>
        <w:t>Fridlysta och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2026-06-21</w:t>
      <w:br/>
      <w:br/>
    </w:r>
    <w:r>
      <w:t>Till: Holmen skog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