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15142-2025 i Sundsvalls kommun</w:t>
      </w:r>
    </w:p>
    <w:p>
      <w:r>
        <w:t>Detta klagomål behandlar höga naturvärden i avverkningsanmälan A 15142-2025 i Sundsvalls kommun som inkom 2025-03-28 och omfattar 4,8 ha.</w:t>
      </w:r>
    </w:p>
    <w:p>
      <w:pPr>
        <w:pStyle w:val="Caption"/>
      </w:pPr>
      <w:r>
        <w:drawing>
          <wp:inline xmlns:a="http://schemas.openxmlformats.org/drawingml/2006/main" xmlns:pic="http://schemas.openxmlformats.org/drawingml/2006/picture">
            <wp:extent cx="5452321" cy="5724000"/>
            <wp:docPr id="1" name="Picture 1"/>
            <wp:cNvGraphicFramePr>
              <a:graphicFrameLocks noChangeAspect="1"/>
            </wp:cNvGraphicFramePr>
            <a:graphic>
              <a:graphicData uri="http://schemas.openxmlformats.org/drawingml/2006/picture">
                <pic:pic>
                  <pic:nvPicPr>
                    <pic:cNvPr id="0" name="A 15142-2025 karta.png"/>
                    <pic:cNvPicPr/>
                  </pic:nvPicPr>
                  <pic:blipFill>
                    <a:blip r:embed="rId16"/>
                    <a:stretch>
                      <a:fillRect/>
                    </a:stretch>
                  </pic:blipFill>
                  <pic:spPr>
                    <a:xfrm>
                      <a:off x="0" y="0"/>
                      <a:ext cx="5452321" cy="5724000"/>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har ett svart streck som visar fyndplatsens exakta position. Kartans mittpunktskoordinat är N 6958317, E 594315 i SWEREF 99 TM.</w:t>
      </w:r>
    </w:p>
    <w:p>
      <w:r>
        <w:t>I och inom 1 meter från avverkningsanmälan finns fynd av 18 naturvårdsarter, varav 11 är rödlistade, 4 är fridlysta, 15 är typiska (T) och 5 är signalarter (S): blackticka (VU), garnlav (VU, T), knärot (VU, T, §8), kolflarnlav (NT, T), lunglav (NT, T), rosenticka (NT, T), rynkskinn (NT, T), tallticka (NT, T), tretåig hackspett (NT, T, §4), ullticka (NT, T), vitgrynig nållav (NT), bårdlav (S, T), korallblylav (S, T), skinnlav (S, T), stuplav (S, T), vedticka (S, T), spillkråka (T, §4) och nattviol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Blackticka (VU)</w:t>
      </w:r>
      <w:r>
        <w:t>, rödlistad som sårbar, är en exklusiv svamp som signalerar fuktiga granskogar med mycket höga naturvärden. Den har klassificerats som en “urskogsindikator” och påträffas nästan enbart i urskogsartade barrnaturskogar med långvarig kontinuitet av grova lågor i olika nedbrytningsstadier. Skogsskötselåtgärder på eller i omedelbar närhet av lokalerna utgör ett hot och på lång sikt innebär fragmenteringen av skogslandskapet att artens förekomster isoleras vilket i sig utgör ett hot mot artens överlevnad. Fler skogar med blackticka måste skyddas (Nitare &amp; Skogsstyrelsen, 2019; SLU Artdatabanken, 2024).</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10 fyndplatser för knärot registrerade på Artportalen. Figur 2 visar gränserna för buffertzoner på 50 m, som behöver lämnas kring fyndplatserna för att knärotslokalerna inte ska försvinna vid en avverkning. Av det avverkningsanmälda området överlappar 3.42 ha med buffertzonerna och får av detta skäl inte avverkas.</w:t>
      </w:r>
    </w:p>
    <w:p>
      <w:pPr>
        <w:pStyle w:val="Caption"/>
      </w:pPr>
      <w:r>
        <w:drawing>
          <wp:inline xmlns:a="http://schemas.openxmlformats.org/drawingml/2006/main" xmlns:pic="http://schemas.openxmlformats.org/drawingml/2006/picture">
            <wp:extent cx="5486400" cy="5512795"/>
            <wp:docPr id="2" name="Picture 2"/>
            <wp:cNvGraphicFramePr>
              <a:graphicFrameLocks noChangeAspect="1"/>
            </wp:cNvGraphicFramePr>
            <a:graphic>
              <a:graphicData uri="http://schemas.openxmlformats.org/drawingml/2006/picture">
                <pic:pic>
                  <pic:nvPicPr>
                    <pic:cNvPr id="0" name="A 15142-2025 karta knärot.png"/>
                    <pic:cNvPicPr/>
                  </pic:nvPicPr>
                  <pic:blipFill>
                    <a:blip r:embed="rId17"/>
                    <a:stretch>
                      <a:fillRect/>
                    </a:stretch>
                  </pic:blipFill>
                  <pic:spPr>
                    <a:xfrm>
                      <a:off x="0" y="0"/>
                      <a:ext cx="5486400" cy="551279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6958317, E 594315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18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2026-07-27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