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som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gammelgransskål (NT, T), vitgrynig nållav (NT) och barkticka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