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28406-2025 i Sundsvalls kommun</w:t>
      </w:r>
    </w:p>
    <w:p>
      <w:r>
        <w:t>Detta dokument behandlar höga naturvärden i avverkningsanmälan A 28406-2025 i Sundsvalls kommun som inkom 2025-06-11 och omfattar 27,4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(VU, T), lunglav (NT, T), ullticka (NT, T), vanlig groda (§6) och fläcknycklar (§8).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28406-2025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6976325, E 601102 i SWEREF 99 TM.</w:t>
      </w:r>
    </w:p>
    <w:p>
      <w:pPr>
        <w:pStyle w:val="Heading2"/>
      </w:pPr>
      <w:r>
        <w:t>Fridlysta arter</w:t>
      </w:r>
    </w:p>
    <w:p>
      <w:r>
        <w:t>Följande fridlysta arter har sina livsmiljöer och växtplatser i den avverkningsanmälda skogen: vanlig groda (§6) och fläcknycklar (§8).</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