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58723-2024 i Sundsvalls kommun</w:t>
      </w:r>
    </w:p>
    <w:p>
      <w:r>
        <w:t>Detta dokument behandlar höga naturvärden i avverkningsanmälan A 58723-2024 i Sundsvalls kommun som inkom 2024-12-09 och omfattar 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12322" cy="5688000"/>
            <wp:docPr id="1" name="Picture 1"/>
            <wp:cNvGraphicFramePr>
              <a:graphicFrameLocks noChangeAspect="1"/>
            </wp:cNvGraphicFramePr>
            <a:graphic>
              <a:graphicData uri="http://schemas.openxmlformats.org/drawingml/2006/picture">
                <pic:pic>
                  <pic:nvPicPr>
                    <pic:cNvPr id="0" name="A 58723-2024 karta.png"/>
                    <pic:cNvPicPr/>
                  </pic:nvPicPr>
                  <pic:blipFill>
                    <a:blip r:embed="rId16"/>
                    <a:stretch>
                      <a:fillRect/>
                    </a:stretch>
                  </pic:blipFill>
                  <pic:spPr>
                    <a:xfrm>
                      <a:off x="0" y="0"/>
                      <a:ext cx="4812322"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6915519, E 614825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