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16043-2025 i Sundsvalls kommun</w:t>
      </w:r>
    </w:p>
    <w:p>
      <w:r>
        <w:t>Detta klagomål behandlar höga naturvärden i avverkningsanmälan A 16043-2025 i Sundsvalls kommun som inkom 2025-04-02 och omfattar 10,5 ha.</w:t>
      </w:r>
    </w:p>
    <w:p>
      <w:pPr>
        <w:pStyle w:val="Caption"/>
      </w:pPr>
      <w:r>
        <w:drawing>
          <wp:inline xmlns:a="http://schemas.openxmlformats.org/drawingml/2006/main" xmlns:pic="http://schemas.openxmlformats.org/drawingml/2006/picture">
            <wp:extent cx="4238907" cy="5724000"/>
            <wp:docPr id="1" name="Picture 1"/>
            <wp:cNvGraphicFramePr>
              <a:graphicFrameLocks noChangeAspect="1"/>
            </wp:cNvGraphicFramePr>
            <a:graphic>
              <a:graphicData uri="http://schemas.openxmlformats.org/drawingml/2006/picture">
                <pic:pic>
                  <pic:nvPicPr>
                    <pic:cNvPr id="0" name="A 16043-2025 karta.png"/>
                    <pic:cNvPicPr/>
                  </pic:nvPicPr>
                  <pic:blipFill>
                    <a:blip r:embed="rId16"/>
                    <a:stretch>
                      <a:fillRect/>
                    </a:stretch>
                  </pic:blipFill>
                  <pic:spPr>
                    <a:xfrm>
                      <a:off x="0" y="0"/>
                      <a:ext cx="423890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6943398, E 604501 i SWEREF 99 TM.</w:t>
      </w:r>
    </w:p>
    <w:p>
      <w:r>
        <w:t>I avverkningsanmälan finns fynd av 5 naturvårdsarter, varav 4 är rödlistade, 5 är fridlysta och 1 är typisk (T): pärluggla (EN, T, §4), pilgrimsfalk (VU, §4), bivråk (NT, §4), sparvuggla (NT, §4) och havsörn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Pärluggla (EN, §4)</w:t>
      </w:r>
      <w:r>
        <w:t xml:space="preserve"> är en starkt hotad art som omfattas av bilaga 1 EU:s fågeldirektiv. Beståndet har gradvis minskat sedan början av 1980-talet och efter 2010 tyder data från Svensk Fågeltaxering på att beståndet i det närmaste helt kraschat. Minskningstakten har uppgått till 60 (40–80) % under de senaste 15 åren. Pärlugglan är beroende av äldre, varierad skog med goda jaktmöjligheter och god tillgång på lämpliga trädhål som boplatser. Hemområdet är i storleksordningen 200–500 hektar, men storleken varierar kraftigt beroende på hur mycket föda det finns. 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Pärluggla är typisk art för </w:t>
      </w:r>
      <w:r>
        <w:rPr>
          <w:i/>
        </w:rPr>
        <w:t>9010 Västlig taiga</w:t>
      </w:r>
      <w:r>
        <w:t xml:space="preserve"> (SLU Artdatabanken, 2026; Skogsstyrelsen, 2016).</w:t>
      </w:r>
    </w:p>
    <w:p>
      <w:r>
        <w:rPr>
          <w:b/>
        </w:rPr>
        <w:t>Pilgrimsfalk (VU, §4)</w:t>
      </w:r>
      <w:r>
        <w:t xml:space="preserve"> är rödlistad som sårbar och är upptagen i bilaga 1 EU:s fågeldirektiv. Den har minskat med 17.5 (15–20) % under de senaste 18 åren och minskningstakten överstiger gränsvärdet för sårbar (VU). Pilgrimsfalken häckar i branta klippväggar, där boet läggs på en öppen, svåråtkomlig klipphylla. Många av de bebodda klippstupen gränsar till skogsmark. Markhäckningar förekommer relativt frekvent på stora, blöta myrar i Norrbottens län. Tidigare var häckningar i risbon, framför allt i fiskgjusebon, förhållandevis vanligt men förekommer numera sällan. Lämna en skyddszon med träd mot häckningsplatsen (klippbranten), så att häckningsmiljön behålls oförändrad. Eventuell skog i själva rasbranten lämnas orörd. Vid häckning i risbon, avstå från avverkning inom 100 meter från boet.  Hänsyn bör tas även till äldre, dokumenterade häckningsplatser även om de för tillfället inte är i bruk (SLU Artdatabanken, 2026; Skogsstyrelsen, 2016).</w:t>
      </w:r>
    </w:p>
    <w:p>
      <w:r>
        <w:rPr>
          <w:b/>
        </w:rPr>
        <w:t>Bivråk (NT, §4)</w:t>
      </w:r>
      <w:r>
        <w:t xml:space="preserve"> ingår i bilaga 1 i EU:s fågeldirektiv och är prioriterad art i Skogsvårdslagen. Den har minskat med 2/3-delar sedan 1970-talet och under de senaste 30 åren har minskningstakten uppgått till 22.5 (15–30) %. Arten häckar i tät, ogallrad skog på högproduktiv mark, i södra Sverige främst i lövskogsrika trakter, i Norrland till stor del i högproduktiv granskog, Födan består av getinglarver och -puppor, men även av fågelungar och groddjur. Bivråken påverkas negativt av avverkning och omföring av lövträdsrika marker till täta produktionsskogar av barrträd samt av den allmänna "</w:t>
      </w:r>
      <w:r>
        <w:rPr>
          <w:i/>
        </w:rPr>
        <w:t>förtorkningen</w:t>
      </w:r>
      <w:r>
        <w:t>" av landskapet genom täckdikning, dikning av skogsmark etc. 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Minskningstakten för den svenska populationen bedöms vara nära gränsvärdet för Sårbar (VU) (SLU Artdatabanken, 2026; Skogsstyrelsen, 2016).</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Pärluggla – ekologi samt krav på livsmiljön</w:t>
      </w:r>
    </w:p>
    <w:p>
      <w:r>
        <w:t xml:space="preserve">Pärluggla (EN, §4) är en starkt hotad art som är typisk art för </w:t>
      </w:r>
      <w:r>
        <w:rPr>
          <w:i/>
        </w:rPr>
        <w:t>9010 Västlig taiga</w:t>
      </w:r>
      <w:r>
        <w:t xml:space="preserve"> och omfattas av bilaga 1 EU:s fågeldirektiv. Beståndet har gradvis minskat sedan början av 1980-talet och efter 2010 tyder data från Svensk Fågeltaxering på att beståndet i det närmaste helt kraschat. Minskningstakten har uppgått till 60 (40–80) % under de senaste 15 åren och överstiger gränsvärdet för starkt hotad (EN) (SLU Artdatabanken, 2026).</w:t>
      </w:r>
    </w:p>
    <w:p>
      <w:r>
        <w:t>Pärlugglan är beroende av äldre, varierad skog med goda jaktmöjligheter och god tillgång på lämpliga trädhål som boplatser. Den förekommer med störst täthet i äldre granskog, med inslag av gamla lövträd och luckor och öppningar i form av mindre hyggen, jordbruksmark och liknande. Den häckar även frekvent i barr- och lövblandskogar av tall, björk och asp, där förutsättningarna att finna boplatser är störst. I sydligaste Sverige häckar den ofta i gamla bokbackar, men den är mycket sällsynt i ren bokskog. Hemområdet är i storleksordningen 200–500 hektar, men storleken varierar kraftigt beroende på hur mycket föda det finns. Under dåliga gnagarår kan pärlugglan jaga upp till 4 km från boet medan den under bra år ofta håller sig inom 1 km (SLU Artdatabanken, 2026).</w:t>
      </w:r>
    </w:p>
    <w:p>
      <w:r>
        <w:t>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(Skogsstyrelsen, 2016).</w:t>
      </w:r>
    </w:p>
    <w:p>
      <w:pPr>
        <w:pStyle w:val="Heading2"/>
      </w:pPr>
      <w:r>
        <w:t>Referenser – pärluggla</w:t>
      </w:r>
    </w:p>
    <w:p>
      <w:r>
        <w:t xml:space="preserve">SLU Artdatabanken, 2026. </w:t>
      </w:r>
      <w:r>
        <w:rPr>
          <w:i/>
        </w:rPr>
        <w:t xml:space="preserve">Artfaktablad. Naturvård – artfakta. </w:t>
      </w:r>
      <w:r>
        <w:t>SLU Artdatabanken, Uppsala.</w:t>
      </w:r>
    </w:p>
    <w:p>
      <w:r>
        <w:t xml:space="preserve">Skogsstyrelsen, 2016. </w:t>
      </w:r>
      <w:r>
        <w:rPr>
          <w:i/>
        </w:rPr>
        <w:t>Vägledning för hänsyn till pärluggla.</w:t>
      </w:r>
    </w:p>
    <w:p>
      <w:pPr>
        <w:pStyle w:val="Heading1"/>
      </w:pPr>
      <w:r>
        <w:t>Bivråk – ekologi samt krav på livsmiljön</w:t>
      </w:r>
    </w:p>
    <w:p>
      <w:r>
        <w:t>Bivråk (NT, §4) ingår i bilaga 1 i EU:s fågeldirektiv och är prioriterad art i Skogsvårdslagen. Den har minskat med 2/3-delar sedan 1970-talet och under de senaste 30 åren har minskningstakten uppgått till 22.5 (15–30) %. Minskningstakten för den svenska populationen bedöms vara nära gränsvärdet för Sårbar (VU) (SLU Artdatabanken, 2026).</w:t>
      </w:r>
    </w:p>
    <w:p>
      <w:r>
        <w:t>Arten häckar i tät, ogallrad skog på högproduktiv mark, i södra Sverige främst i lövskogsrika trakter, i Norrland till stor del i högproduktiv granskog, Födan består av getinglarver och -puppor, men även av fågelungar och groddjur. (SLU Artdatabanken, 2026).</w:t>
      </w:r>
    </w:p>
    <w:p>
      <w:r>
        <w:t>En trolig delförklaring till minskande bivråksstammar är att det i dagens skogs- och jordbruksbygder finns ett sämre utbud av insektsrika biotoper jämfört med förhållandena för 20–40 år sedan. Minskad insektsrikedom innebär förmodligen en lägre täthet av sociala getingsamhällen och därmed sämre förutsättningar för bivråkens häckning. En allmän "</w:t>
      </w:r>
      <w:r>
        <w:rPr>
          <w:i/>
        </w:rPr>
        <w:t>förtorkning</w:t>
      </w:r>
      <w:r>
        <w:t>" av landskapet (täckdikning, dikning av skogsmark etc.) liksom omföring av lövträdsrika marker till täta produktionsskogar av barrträd medför dessutom en försämrad förekomst av tättingar (trastar etc.) och grodor, vilket sannolikt påverkar bivråken negativt. (SLU Artdatabanken, 2026).</w:t>
      </w:r>
    </w:p>
    <w:p>
      <w:r>
        <w:t>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(SLU Artdatabanken, 2026; Skogsstyrelsen, 2016).</w:t>
      </w:r>
    </w:p>
    <w:p>
      <w:pPr>
        <w:pStyle w:val="Heading2"/>
      </w:pPr>
      <w:r>
        <w:t>Referenser – bivråk</w:t>
      </w:r>
    </w:p>
    <w:p>
      <w:r>
        <w:t xml:space="preserve">Skogsstyrelsen, 2016. </w:t>
      </w:r>
      <w:r>
        <w:rPr>
          <w:i/>
        </w:rPr>
        <w:t>Vägledning för hänsyn till bivråk.</w:t>
      </w:r>
    </w:p>
    <w:p>
      <w:r>
        <w:t xml:space="preserve">SLU Artdatabanken, 2026. </w:t>
      </w:r>
      <w:r>
        <w:rPr>
          <w:i/>
        </w:rPr>
        <w:t xml:space="preserve">Artfaktablad. Naturvård – artfakta. </w:t>
      </w:r>
      <w:r>
        <w:t>SLU Artdatabanken, Uppsala</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