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11088-2025 i Sundsvalls kommun</w:t>
      </w:r>
    </w:p>
    <w:p>
      <w:r>
        <w:t>Denna tillsynsbegäran behandlar höga naturvärden i avverkningsanmälan A 11088-2025 i Sundsvalls kommun som inkom 2025-03-07 och omfattar 10,6 ha.</w:t>
      </w:r>
    </w:p>
    <w:p>
      <w:pPr>
        <w:pStyle w:val="Caption"/>
      </w:pPr>
      <w:r>
        <w:drawing>
          <wp:inline xmlns:a="http://schemas.openxmlformats.org/drawingml/2006/main" xmlns:pic="http://schemas.openxmlformats.org/drawingml/2006/picture">
            <wp:extent cx="5486400" cy="4881199"/>
            <wp:docPr id="1" name="Picture 1"/>
            <wp:cNvGraphicFramePr>
              <a:graphicFrameLocks noChangeAspect="1"/>
            </wp:cNvGraphicFramePr>
            <a:graphic>
              <a:graphicData uri="http://schemas.openxmlformats.org/drawingml/2006/picture">
                <pic:pic>
                  <pic:nvPicPr>
                    <pic:cNvPr id="0" name="A 11088-2025 karta.png"/>
                    <pic:cNvPicPr/>
                  </pic:nvPicPr>
                  <pic:blipFill>
                    <a:blip r:embed="rId16"/>
                    <a:stretch>
                      <a:fillRect/>
                    </a:stretch>
                  </pic:blipFill>
                  <pic:spPr>
                    <a:xfrm>
                      <a:off x="0" y="0"/>
                      <a:ext cx="5486400" cy="4881199"/>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6931317, E 589659 i SWEREF 99 TM.</w:t>
      </w:r>
    </w:p>
    <w:p>
      <w:r>
        <w:t>I avverkningsanmälan finns fynd av 19 naturvårdsarter, varav 9 är rödlistade, 8 är fridlysta, 15 är typiska (T) och 5 är signalarter (S): aspgelélav (VU, T), garnlav (VU, T), knärot (VU, T, §8), fjällig taggsvamp s.str. (NT), lunglav (NT, T), talltita (NT, §4), tretåig hackspett (NT, T, §4), ullticka (NT, T), violettgrå tagellav (NT, T), grönpyrola (S, T), korallblylav (S, T), skinnlav (S, T), stor aspticka (S, T), stuplav (S, T), järpe (T, §4), spillkråka (T, §4), tjäder (T, §4), svartvit flugsnappare (§4) och revlummer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Aspgelélav (VU)</w:t>
      </w:r>
      <w:r>
        <w:t xml:space="preserve"> växer praktiskt taget enbart på asp i skog med hög luftfuktighet. Aspgelélav missgynnas vid slutavverkning. I norra Sverige hotas arten genom slutavverkning av äldre barrskog med åldriga aspar, ofta på skogsbergens sluttningar. Arten försvinner på aspar som lämnas kvar på hyggen. Aspgelélav (VU) är typisk art för </w:t>
      </w:r>
      <w:r>
        <w:rPr>
          <w:i/>
        </w:rPr>
        <w:t>9010 Taiga</w:t>
      </w:r>
      <w:r>
        <w:t xml:space="preserve"> (SLU Artdatabanken, 2024).</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0.42 ha med buffertzonerna och får av detta skäl inte avverkas.</w:t>
      </w:r>
    </w:p>
    <w:p>
      <w:pPr>
        <w:pStyle w:val="Caption"/>
      </w:pPr>
      <w:r>
        <w:drawing>
          <wp:inline xmlns:a="http://schemas.openxmlformats.org/drawingml/2006/main" xmlns:pic="http://schemas.openxmlformats.org/drawingml/2006/picture">
            <wp:extent cx="5486400" cy="4626675"/>
            <wp:docPr id="2" name="Picture 2"/>
            <wp:cNvGraphicFramePr>
              <a:graphicFrameLocks noChangeAspect="1"/>
            </wp:cNvGraphicFramePr>
            <a:graphic>
              <a:graphicData uri="http://schemas.openxmlformats.org/drawingml/2006/picture">
                <pic:pic>
                  <pic:nvPicPr>
                    <pic:cNvPr id="0" name="A 11088-2025 karta knärot.png"/>
                    <pic:cNvPicPr/>
                  </pic:nvPicPr>
                  <pic:blipFill>
                    <a:blip r:embed="rId17"/>
                    <a:stretch>
                      <a:fillRect/>
                    </a:stretch>
                  </pic:blipFill>
                  <pic:spPr>
                    <a:xfrm>
                      <a:off x="0" y="0"/>
                      <a:ext cx="5486400" cy="4626675"/>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6931317, E 589659 i SWEREF 99 TM.</w:t>
      </w:r>
    </w:p>
    <w:p>
      <w:r>
        <w:rPr>
          <w:b/>
        </w:rPr>
        <w:t>Fjällig taggsvamp s.str. (NT)</w:t>
      </w:r>
      <w:r>
        <w:t xml:space="preserve"> bildar mykorrhiza med gran i granskog och barrblandskog, främst på frisk näringsrik mark i äldre skog med lång trädkontinuitet. Den totala populationen i landet har minskat och bedöms fortsätta minska till följd av avverkning av äldre barrskogar. Minskningstakten för den svenska populationen bedöms vara nära gränsvärdet för sårbar (VU) (SLU Artdatabanken, 2026).</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Violettgrå tagellav är typisk art för </w:t>
      </w:r>
      <w:r>
        <w:rPr>
          <w:i/>
        </w:rPr>
        <w:t>9010 Taiga</w:t>
      </w:r>
      <w:r>
        <w:t xml:space="preserve"> (SLU Artdatabanken, 2024; Nitare &amp; Skogsstyrelsen, 2019).</w:t>
      </w:r>
    </w:p>
    <w:p>
      <w:r>
        <w:rPr>
          <w:b/>
        </w:rPr>
        <w:t xml:space="preserve">Grönpyrola </w:t>
      </w:r>
      <w:r>
        <w:t xml:space="preserve">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Grönpyrola är typisk art för </w:t>
      </w:r>
      <w:r>
        <w:rPr>
          <w:i/>
        </w:rPr>
        <w:t>9010 Taiga, 9060 Åsbarrskog</w:t>
      </w:r>
      <w:r>
        <w:t xml:space="preserve"> och</w:t>
      </w:r>
      <w:r>
        <w:rPr>
          <w:i/>
        </w:rPr>
        <w:t xml:space="preserve"> 1610 Åsöar i Östersjön </w:t>
      </w:r>
      <w:r>
        <w:t>(Nitare &amp; Skogsstyrelsen, 2019; SLU Artdatabanken, 2025).</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Korallblylav är typisk art för </w:t>
      </w:r>
      <w:r>
        <w:rPr>
          <w:i/>
        </w:rPr>
        <w:t xml:space="preserve">9020 Nordlig ädellövskog, 9070 Trädklädd betesmark, 9160 Näringsrik ekskog, 9180 Ädellövskog i branter </w:t>
      </w:r>
      <w:r>
        <w:t>och</w:t>
      </w:r>
      <w:r>
        <w:rPr>
          <w:i/>
        </w:rPr>
        <w:t xml:space="preserve"> 9190 Näringsfattig ekskog</w:t>
      </w:r>
      <w:r>
        <w:t xml:space="preserve"> (SLU Artdatabanken, 2024; Nitare &amp; Skogsstyrelsen, 2019).</w:t>
      </w:r>
    </w:p>
    <w:p>
      <w:r>
        <w:rPr>
          <w:b/>
        </w:rPr>
        <w:t xml:space="preserve">Skinnlav </w:t>
      </w:r>
      <w:r>
        <w:t xml:space="preserve">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Skinnlav är typisk art för </w:t>
      </w:r>
      <w:r>
        <w:rPr>
          <w:i/>
        </w:rPr>
        <w:t xml:space="preserve">9010 Taiga, 9020 Nordlig ädellövskog </w:t>
      </w:r>
      <w:r>
        <w:t xml:space="preserve">och </w:t>
      </w:r>
      <w:r>
        <w:rPr>
          <w:i/>
        </w:rPr>
        <w:t xml:space="preserve">9070 Trädklädd betesmark </w:t>
      </w:r>
      <w:r>
        <w:t>(Nitare &amp; Skogsstyrelsen, 2019; SLU Artdatabanken, 2025).</w:t>
      </w:r>
    </w:p>
    <w:p>
      <w:r>
        <w:rPr>
          <w:b/>
        </w:rPr>
        <w:t>Stor aspticka</w:t>
      </w:r>
      <w:r>
        <w:t xml:space="preserve"> är knuten till gamla levande aspar och orsakar karaktäristiska inbuktningar i stammen (så kallad nekroser). Slutavverknings- och gallringsåtgärder i löv- och blandskogsbestånd som innebär att tillgången på grov asp minskar är ett hot mot arten. Det är viktigt att äldre aspar och aspbestånd sparas och för att gynna arten på sikt bör aspinslagen i t.ex. bergbranter, raviner, skogsbryn och kring äldre odlingsmarker generellt sparas i större utsträckning än vad som görs idag. Stor aspticka är typisk art för </w:t>
      </w:r>
      <w:r>
        <w:rPr>
          <w:i/>
        </w:rPr>
        <w:t xml:space="preserve">9010 Taiga </w:t>
      </w:r>
      <w:r>
        <w:t xml:space="preserve">och </w:t>
      </w:r>
      <w:r>
        <w:rPr>
          <w:i/>
        </w:rPr>
        <w:t>9030 Landhöjningsskog</w:t>
      </w:r>
      <w:r>
        <w:t xml:space="preserve">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r>
        <w:rPr>
          <w:b/>
        </w:rPr>
        <w:t>Järpe (§4)</w:t>
      </w:r>
      <w:r>
        <w:t xml:space="preserve">, som är upptagen i bilaga 1 och 2 EU:s fågeldirektiv, är mycket stationär inom sitt revir som är minst 25 hektar stort. Livsmiljöerna utgörs av tät barrskog med inblandning av lövträd och en väl utvecklad flerskiktad struktur med bärris och yngre eller undertryckta, täta granar i ett lägre skikt, ofta utmed bäckar och åar inne i den skyddande granskogen. Den överlever inte om dess livsmiljö kalavverkas och är även känslig för röjning, gallring och avverkning där unga granar och lövträd inte sparas i tillräcklig omfattning. Arten finns i sammanhängande grandominerad skog över hela Sverige men förekomsterna är betydligt glesare i Götaland än i övriga landet. Järpe är typisk art för </w:t>
      </w:r>
      <w:r>
        <w:rPr>
          <w:i/>
        </w:rPr>
        <w:t xml:space="preserve">9010 Taiga, 9080 Lövsumpskog </w:t>
      </w:r>
      <w:r>
        <w:t xml:space="preserve">och </w:t>
      </w:r>
      <w:r>
        <w:rPr>
          <w:i/>
        </w:rPr>
        <w:t xml:space="preserve">9740 Skogsbevuxen myr </w:t>
      </w:r>
      <w:r>
        <w:t>(SLU Artdatabanken, 2026).</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aspgelélav (VU, T), garnlav (VU, T), knärot (VU, T, §8), lunglav (NT, T), tretåig hackspett (NT, T, §4), ullticka (NT, T), violettgrå tagellav (NT, T), grönpyrola (S, T), korallblylav (S, T), skinnlav (S, T), stor aspticka (S, T), stuplav (S, T), järpe (T, §4), spillkråka (T, §4) och tjäder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Järpe – ekologi samt krav på livsmiljön</w:t>
      </w:r>
    </w:p>
    <w:p>
      <w:r>
        <w:t>Järpe är fridlyst enligt 4§ artskyddsförordningen och upptagen i bilaga 1 och 2 EU:s fågeldirektiv. Den finns i sammanhängande grandominerad skog över hela Sverige men förekomsterna är betydligt glesare i Götaland än i övriga landet. Järpen har sina livsmiljöer i tät barrskog med inblandning av lövträd och en väl utvecklad flerskiktad struktur med bärris och yngre eller undertryckta, täta granar i ett lägre skikt, ofta utmed bäckar och åar inne i den skyddande granskogen (SLU Artdatabanken, 2026).</w:t>
      </w:r>
    </w:p>
    <w:p>
      <w:r>
        <w:t xml:space="preserve">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Järpe är typisk art för </w:t>
      </w:r>
      <w:r>
        <w:rPr>
          <w:i/>
        </w:rPr>
        <w:t>9010 Taiga, 9740 Skogsbevuxen myr</w:t>
      </w:r>
      <w:r>
        <w:t xml:space="preserve"> och </w:t>
      </w:r>
      <w:r>
        <w:rPr>
          <w:i/>
        </w:rPr>
        <w:t>9080 Lövsumpskog</w:t>
      </w:r>
      <w:r>
        <w:t xml:space="preserve"> (SLU Artdatabanken, 2026).</w:t>
      </w:r>
    </w:p>
    <w:p>
      <w:pPr>
        <w:pStyle w:val="Heading2"/>
      </w:pPr>
      <w:r>
        <w:t>Referenser – järpe</w:t>
      </w:r>
    </w:p>
    <w:p>
      <w:r>
        <w:t xml:space="preserve">SLU Artdatabanken, 2026.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3" name="Picture 3"/>
            <wp:cNvGraphicFramePr>
              <a:graphicFrameLocks noChangeAspect="1"/>
            </wp:cNvGraphicFramePr>
            <a:graphic>
              <a:graphicData uri="http://schemas.openxmlformats.org/drawingml/2006/picture">
                <pic:pic>
                  <pic:nvPicPr>
                    <pic:cNvPr id="0" name="uppföljning av västlig taiga.jpeg"/>
                    <pic:cNvPicPr/>
                  </pic:nvPicPr>
                  <pic:blipFill>
                    <a:blip r:embed="rId18"/>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 Id="rId18" Type="http://schemas.openxmlformats.org/officeDocument/2006/relationships/image" Target="media/image3.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