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13423-2026 i Kramfors kommun</w:t>
      </w:r>
    </w:p>
    <w:p>
      <w:r>
        <w:t>Detta klagomål behandlar höga naturvärden i avverkningsanmälan A 13423-2026 i Kramfors kommun som inkom 2026-03-13 och omfattar 16,9 ha.</w:t>
      </w:r>
    </w:p>
    <w:p>
      <w:pPr>
        <w:pStyle w:val="Caption"/>
      </w:pPr>
      <w:r>
        <w:drawing>
          <wp:inline xmlns:a="http://schemas.openxmlformats.org/drawingml/2006/main" xmlns:pic="http://schemas.openxmlformats.org/drawingml/2006/picture">
            <wp:extent cx="5486400" cy="5350343"/>
            <wp:docPr id="1" name="Picture 1"/>
            <wp:cNvGraphicFramePr>
              <a:graphicFrameLocks noChangeAspect="1"/>
            </wp:cNvGraphicFramePr>
            <a:graphic>
              <a:graphicData uri="http://schemas.openxmlformats.org/drawingml/2006/picture">
                <pic:pic>
                  <pic:nvPicPr>
                    <pic:cNvPr id="0" name="A 13423-2026 karta.png"/>
                    <pic:cNvPicPr/>
                  </pic:nvPicPr>
                  <pic:blipFill>
                    <a:blip r:embed="rId16"/>
                    <a:stretch>
                      <a:fillRect/>
                    </a:stretch>
                  </pic:blipFill>
                  <pic:spPr>
                    <a:xfrm>
                      <a:off x="0" y="0"/>
                      <a:ext cx="5486400" cy="535034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6981290, E 672736 i SWEREF 99 TM.</w:t>
      </w:r>
    </w:p>
    <w:p>
      <w:r>
        <w:t>I och inom 6 meter från avverkningsanmälan finns fynd av 15 naturvårdsarter, varav 8 är rödlistade, 7 är fridlysta, 11 är typiska (T) och 2 är signalarter (S): aspgelélav (VU, T), garnlav (VU, T), knärot (VU, T, §8), kötticka (NT), lunglav (NT, T), skogshare (NT), tretåig hackspett (NT, T, §4), ullticka (NT, T), korallblylav (S, T), vedticka (S, T), blåsippa (T, §9), gråspett (T, §4), spillkråka (T, §4),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178698"/>
            <wp:docPr id="2" name="Picture 2"/>
            <wp:cNvGraphicFramePr>
              <a:graphicFrameLocks noChangeAspect="1"/>
            </wp:cNvGraphicFramePr>
            <a:graphic>
              <a:graphicData uri="http://schemas.openxmlformats.org/drawingml/2006/picture">
                <pic:pic>
                  <pic:nvPicPr>
                    <pic:cNvPr id="0" name="A 13423-2026 karta knärot.png"/>
                    <pic:cNvPicPr/>
                  </pic:nvPicPr>
                  <pic:blipFill>
                    <a:blip r:embed="rId17"/>
                    <a:stretch>
                      <a:fillRect/>
                    </a:stretch>
                  </pic:blipFill>
                  <pic:spPr>
                    <a:xfrm>
                      <a:off x="0" y="0"/>
                      <a:ext cx="5486400" cy="71786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6981290, E 672736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