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30534-2025 i Kramfors kommun</w:t>
      </w:r>
    </w:p>
    <w:p>
      <w:r>
        <w:t>Denna tillsynsbegäran behandlar höga naturvärden i avverkningsanmälan A 30534-2025 i Kramfors kommun som inkom 2025-06-23 och omfattar 4,5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0534-2025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6973534, E 644755 i SWEREF 99 TM.</w:t>
      </w:r>
    </w:p>
    <w:p>
      <w:r>
        <w:t>I och inom 20 meter från avverkningsanmälan finns fynd av 12 naturvårdsarter, varav 7 är rödlistade, 6 är fridlysta, 10 är typiska (T) och 1 är signalart (S): gränsticka (VU, T), doftskinn (NT, T), nötkråka (NT, T, §4), rosenticka (NT, T), rynkskinn (NT, T), tretåig hackspett (NT, T, §4), ullticka (NT, T), vedticka (S, T), gråspett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nötkråka (NT, T, §4), rosenticka (NT, T), rynkskinn (NT, T), tretåig hackspett (NT, T, §4), ullticka (NT, T), vedticka (S, T),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