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38014-2024 i Kramfors kommun</w:t>
      </w:r>
    </w:p>
    <w:p>
      <w:r>
        <w:t>Denna tillsynsbegäran behandlar höga naturvärden i avverkningsanmälan A 38014-2024 i Kramfors kommun som inkom 2024-09-09 och omfattar 4,8 ha.</w:t>
      </w:r>
    </w:p>
    <w:p>
      <w:pPr>
        <w:pStyle w:val="Caption"/>
      </w:pPr>
      <w:r>
        <w:drawing>
          <wp:inline xmlns:a="http://schemas.openxmlformats.org/drawingml/2006/main" xmlns:pic="http://schemas.openxmlformats.org/drawingml/2006/picture">
            <wp:extent cx="5348300" cy="5724000"/>
            <wp:docPr id="1" name="Picture 1"/>
            <wp:cNvGraphicFramePr>
              <a:graphicFrameLocks noChangeAspect="1"/>
            </wp:cNvGraphicFramePr>
            <a:graphic>
              <a:graphicData uri="http://schemas.openxmlformats.org/drawingml/2006/picture">
                <pic:pic>
                  <pic:nvPicPr>
                    <pic:cNvPr id="0" name="A 38014-2024 karta.png"/>
                    <pic:cNvPicPr/>
                  </pic:nvPicPr>
                  <pic:blipFill>
                    <a:blip r:embed="rId16"/>
                    <a:stretch>
                      <a:fillRect/>
                    </a:stretch>
                  </pic:blipFill>
                  <pic:spPr>
                    <a:xfrm>
                      <a:off x="0" y="0"/>
                      <a:ext cx="5348300"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6983169, E 670833 i SWEREF 99 TM.</w:t>
      </w:r>
    </w:p>
    <w:p>
      <w:r>
        <w:t>I och inom 25 meter från avverkningsanmälan finns fynd av 29 naturvårdsarter, varav 15 är rödlistade, 4 är fridlysta, 12 är typiska (T) och 11 är signalarter (S): koppartaggsvamp (EN), raggtaggsvamp (EN), gul taggsvamp (VU, T), gyllenspindling (VU), stor granspindling (VU), violöra (VU), dofttaggsvamp (NT, T), fjällig taggsvamp s.str. (NT), flattoppad klubbsvamp (NT), kryddspindling (NT, T), luddfingersvamp (NT), orange taggsvamp (NT, T), persiljespindling (NT), skarp dropptaggsvamp (NT), vårärt (NT, T), kalktallört (S), kastanjefjällskivling (S), mörk husmossa (S, T), rökmusseron (S), skogshakmossa (S, T), skogsknipprot (S, T, §8), strimspindling (S), svart trolldruva (S, T), svavelriska (S), zontaggsvamp (S), ögonpyrola (S, T), blåsippa (T, §9), spillkråka (T, §4)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Raggtaggsvamp (EN)</w:t>
      </w:r>
      <w:r>
        <w:t xml:space="preserve"> är en sällsynt och nationellt starkt hotad art som är knuten till gamla mossiga och örtrika kalkgranskogar med långvarig grankontinuitet. En ”toppart” som alltid indikerar starkt skyddsvärda kalkgranskogar. Raggtaggsvamp år globalt rödlistad som sårbar (VU) och Sverige har en betydande andel av den kända världspopulationen vilket innebär ett internationellt ansvar för arten. Arten försvinner vid slutavverkning vilket utgör det enskilt största hotet. (SLU Artdatabanken, 2024; Nitare &amp; Skogsstyrelsen, 2019; IUCN, 2015).</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Gyllenspindling (VU)</w:t>
      </w:r>
      <w:r>
        <w:t xml:space="preserve"> bildar mykorrhiza med gran i ängsgranskog på kalkrik mark, mer sällan med tall i kalktallskog. Minskningstakten uppgår till 30 % inom 50 år och överstiger gränsvärdet för Sårbar (VU) enligt A-kriteriet. Skogsbruk med kalavverkning, markberedning etc. är ogynnsamt för arten. Barrskog på kalkrik mark är en synnerligen skyddsvärd biotop varav fler områden behöver skyddas (SLU Artdatabanken, 2024).</w:t>
      </w:r>
    </w:p>
    <w:p>
      <w:r>
        <w:rPr>
          <w:b/>
        </w:rPr>
        <w:t>Stor granspindling (VU)</w:t>
      </w:r>
      <w:r>
        <w:t xml:space="preserve"> bildar mykorrhiza med gran, eventuellt även med tall, i ängsgranskog och barrblandskog på kalkrik mark. Växer huvudsakligen i äldre skogsbestånd bland örter eller i djup mossa. Arten påverkas negativt av brist på kontinuitetsskog och den totala populationen i landet bedöms fortgående minska p.g.a. slutavverkningar av äldre kalkbarrskog och försämrad habitatkvalitet (SLU Artdatabanken, 2026).</w:t>
      </w:r>
    </w:p>
    <w:p>
      <w:r>
        <w:rPr>
          <w:b/>
        </w:rPr>
        <w:t>Violöra (VU)</w:t>
      </w:r>
      <w:r>
        <w:t xml:space="preserve"> bildar mykorrhiza med tall i kalkrik, torr, örtrik kalkbarrskog. Beskriven från Italien och i Sverige, hittills med säkerhet endast känd från Öland och Gotland. Knuten till en skogstyp som är starkt hotad av skogsbruk (SLU Artdatabanken, 2026).</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gul taggsvamp (VU, T), dofttaggsvamp (NT, T), kryddspindling (NT, T), orange taggsvamp (NT, T), vårärt (NT, T), mörk husmossa (S, T), skogshakmossa (S, T), skogsknipprot (S, T, §8), svart trolldruva (S, T), ögonpyrola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