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11972-2025 i Kramfors kommun</w:t>
      </w:r>
    </w:p>
    <w:p>
      <w:r>
        <w:t>Detta dokument behandlar höga naturvärden i avverkningsanmälan A 11972-2025 i Kramfors kommun. Denna avverkningsanmälan inkom 2025-03-12 00:00:00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spillkråka (NT, §4), grov husmossa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4258"/>
            <wp:docPr id="1" name="Picture 1"/>
            <wp:cNvGraphicFramePr>
              <a:graphicFrameLocks noChangeAspect="1"/>
            </wp:cNvGraphicFramePr>
            <a:graphic>
              <a:graphicData uri="http://schemas.openxmlformats.org/drawingml/2006/picture">
                <pic:pic>
                  <pic:nvPicPr>
                    <pic:cNvPr id="0" name="A 11972-2025 karta.png"/>
                    <pic:cNvPicPr/>
                  </pic:nvPicPr>
                  <pic:blipFill>
                    <a:blip r:embed="rId16"/>
                    <a:stretch>
                      <a:fillRect/>
                    </a:stretch>
                  </pic:blipFill>
                  <pic:spPr>
                    <a:xfrm>
                      <a:off x="0" y="0"/>
                      <a:ext cx="5486400" cy="53542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6984823, E 668022 i SWEREF 99 TM.</w:t>
      </w:r>
    </w:p>
    <w:p>
      <w:r>
        <w:rPr>
          <w:b/>
        </w:rPr>
        <w:t xml:space="preserve">Grov husmossa </w:t>
      </w:r>
      <w:r>
        <w:t>indikerar fuktiga och mineralrika skogsmiljöer som är mycket artrika, till exempel kalkbarrskogar och näringsrika skogar längs vattendrag. Mossan förekommer ofta tillsammans med många ovanliga och rödlistade arter. I skogslandet signalerar den överallt biotoper med höga naturvärden (Nitare &amp; Skogsstyrelsen, 2019).</w:t>
      </w:r>
    </w:p>
    <w:p>
      <w:pPr>
        <w:pStyle w:val="Heading1"/>
      </w:pPr>
      <w:r>
        <w:t>Fridlysta arter</w:t>
      </w:r>
    </w:p>
    <w:p>
      <w:r>
        <w:t>Följande fridlysta arter har sina livsmiljöer och växtplatser i den avverkningsanmälda skogen: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