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39173-2026 i Kramfors kommun</w:t>
      </w:r>
    </w:p>
    <w:p>
      <w:r>
        <w:t>Denna tillsynsbegäran behandlar höga naturvärden i avverkningsanmälan A 39173-2026 i Kramfors kommun som inkom 2026-09-22 och omfattar 12,4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39173-2026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7003226, E 641829 i SWEREF 99 TM.</w:t>
      </w:r>
    </w:p>
    <w:p>
      <w:r>
        <w:t>I och inom 18 meter från avverkningsanmälan finns fynd av 12 naturvårdsarter, varav 6 är rödlistade, 4 är fridlysta, 11 är typiska (T) och 3 är signalarter (S): garnlav (VU, T), dropptaggsvamp (NT, T), rosenticka (NT, T), talltagel (NT, T), talltita (NT, §4), vedskivlav (NT, T), norrlandslav (S, T), nästlav (S, T), vedticka (S, T),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rosenticka (NT, T), talltagel (NT, T), vedskivlav (NT, T), norrlandslav (S, T), nästlav (S, T), vedticka (S,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