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22660-2024 i Kramfors kommun</w:t>
      </w:r>
    </w:p>
    <w:p>
      <w:r>
        <w:t>Detta klagomål behandlar höga naturvärden i avverkningsanmälan A 22660-2024 i Kramfors kommun som inkom 2024-06-04 och omfattar 9,8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22660-2024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6973281, E 629326 i SWEREF 99 TM.</w:t>
      </w:r>
    </w:p>
    <w:p>
      <w:r>
        <w:t>I och inom 14 meter från avverkningsanmälan finns fynd av 22 naturvårdsarter, varav 14 är rödlistade, 7 är fridlysta, 18 är typiska (T) och 6 är signalarter (S): garnlav (VU, T), knärot (VU, T, §8), tornseglare (VU, §4), gammelgransskål (NT, T), kattfotslav (NT, T), kötticka (NT), lavskrika (NT, T, §4), lunglav (NT, T), talltita (NT, §4), tretåig hackspett (NT, T, §4), ullticka (NT, T), veckticka (NT, T), violettgrå tagellav (NT, T), vitgrynig nållav (NT), gulnål (S, T), luddlav (S, T), nästlav (S, T), stor aspticka (S, T), stuplav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4089348"/>
            <wp:docPr id="2" name="Picture 2"/>
            <wp:cNvGraphicFramePr>
              <a:graphicFrameLocks noChangeAspect="1"/>
            </wp:cNvGraphicFramePr>
            <a:graphic>
              <a:graphicData uri="http://schemas.openxmlformats.org/drawingml/2006/picture">
                <pic:pic>
                  <pic:nvPicPr>
                    <pic:cNvPr id="0" name="A 22660-2024 karta knärot.png"/>
                    <pic:cNvPicPr/>
                  </pic:nvPicPr>
                  <pic:blipFill>
                    <a:blip r:embed="rId17"/>
                    <a:stretch>
                      <a:fillRect/>
                    </a:stretch>
                  </pic:blipFill>
                  <pic:spPr>
                    <a:xfrm>
                      <a:off x="0" y="0"/>
                      <a:ext cx="5486400" cy="40893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6973281, E 629326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