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535-2026 i Kramfors kommun</w:t>
      </w:r>
    </w:p>
    <w:p>
      <w:r>
        <w:t>Detta klagomål behandlar höga naturvärden i avverkningsanmälan A 535-2026 i Kramfors kommun som inkom 2026-01-07 och omfattar 29,2 ha.</w:t>
      </w:r>
    </w:p>
    <w:p>
      <w:pPr>
        <w:pStyle w:val="Caption"/>
      </w:pPr>
      <w:r>
        <w:drawing>
          <wp:inline xmlns:a="http://schemas.openxmlformats.org/drawingml/2006/main" xmlns:pic="http://schemas.openxmlformats.org/drawingml/2006/picture">
            <wp:extent cx="5486400" cy="2833697"/>
            <wp:docPr id="1" name="Picture 1"/>
            <wp:cNvGraphicFramePr>
              <a:graphicFrameLocks noChangeAspect="1"/>
            </wp:cNvGraphicFramePr>
            <a:graphic>
              <a:graphicData uri="http://schemas.openxmlformats.org/drawingml/2006/picture">
                <pic:pic>
                  <pic:nvPicPr>
                    <pic:cNvPr id="0" name="A 535-2026 karta.png"/>
                    <pic:cNvPicPr/>
                  </pic:nvPicPr>
                  <pic:blipFill>
                    <a:blip r:embed="rId16"/>
                    <a:stretch>
                      <a:fillRect/>
                    </a:stretch>
                  </pic:blipFill>
                  <pic:spPr>
                    <a:xfrm>
                      <a:off x="0" y="0"/>
                      <a:ext cx="5486400" cy="28336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6988818, E 658613 i SWEREF 99 TM.</w:t>
      </w:r>
    </w:p>
    <w:p>
      <w:r>
        <w:t>I och inom 23 meter från avverkningsanmälan finns fynd av 19 naturvårdsarter, varav 9 är rödlistade, 7 är fridlysta, 14 är typiska (T) och 4 är signalarter (S): garnlav (VU, T), gränsticka (VU, T), lunglav (NT, T), rosenticka (NT, T), skogshare (NT), talltita (NT, §4), tretåig hackspett (NT, T, §4), ullticka (NT, T), vedskivlav (NT, T), korallblylav (S, T), norrlandslav (S, T), nästlav (S, T), vedticka (S, T), fönsterlav (T), spillkråka (T, §4),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