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20450-2023 i Kramfors kommun</w:t>
      </w:r>
    </w:p>
    <w:p>
      <w:r>
        <w:t>Detta klagomål behandlar höga naturvärden i avverkningsanmälan A 20450-2023 i Kramfors kommun som inkom 2023-05-10 och omfattar 4,0 ha.</w:t>
      </w:r>
    </w:p>
    <w:p>
      <w:pPr>
        <w:pStyle w:val="Caption"/>
      </w:pPr>
      <w:r>
        <w:drawing>
          <wp:inline xmlns:a="http://schemas.openxmlformats.org/drawingml/2006/main" xmlns:pic="http://schemas.openxmlformats.org/drawingml/2006/picture">
            <wp:extent cx="5486400" cy="5596013"/>
            <wp:docPr id="1" name="Picture 1"/>
            <wp:cNvGraphicFramePr>
              <a:graphicFrameLocks noChangeAspect="1"/>
            </wp:cNvGraphicFramePr>
            <a:graphic>
              <a:graphicData uri="http://schemas.openxmlformats.org/drawingml/2006/picture">
                <pic:pic>
                  <pic:nvPicPr>
                    <pic:cNvPr id="0" name="A 20450-2023 karta.png"/>
                    <pic:cNvPicPr/>
                  </pic:nvPicPr>
                  <pic:blipFill>
                    <a:blip r:embed="rId16"/>
                    <a:stretch>
                      <a:fillRect/>
                    </a:stretch>
                  </pic:blipFill>
                  <pic:spPr>
                    <a:xfrm>
                      <a:off x="0" y="0"/>
                      <a:ext cx="5486400" cy="559601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6996184, E 639309 i SWEREF 99 TM.</w:t>
      </w:r>
    </w:p>
    <w:p>
      <w:r>
        <w:t>Inom 18 meter från avverkningsanmälan finns fynd av 8 naturvårdsarter, varav 3 är rödlistade och 8 är fridlysta: drillsnäppa (NT, §4), gulsparv (NT, §4), ägretthäger (NT, §4), havsörn (§4), kråka (§4), sävsparv (§4), trana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