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28537-2026 i Kramfors kommun</w:t>
      </w:r>
    </w:p>
    <w:p>
      <w:r>
        <w:t>Detta klagomål behandlar höga naturvärden i avverkningsanmälan A 28537-2026 i Kramfors kommun som inkom 2026-06-24 och omfattar 4,8 ha.</w:t>
      </w:r>
    </w:p>
    <w:p>
      <w:pPr>
        <w:pStyle w:val="Caption"/>
      </w:pPr>
      <w:r>
        <w:drawing>
          <wp:inline xmlns:a="http://schemas.openxmlformats.org/drawingml/2006/main" xmlns:pic="http://schemas.openxmlformats.org/drawingml/2006/picture">
            <wp:extent cx="5486400" cy="3955487"/>
            <wp:docPr id="1" name="Picture 1"/>
            <wp:cNvGraphicFramePr>
              <a:graphicFrameLocks noChangeAspect="1"/>
            </wp:cNvGraphicFramePr>
            <a:graphic>
              <a:graphicData uri="http://schemas.openxmlformats.org/drawingml/2006/picture">
                <pic:pic>
                  <pic:nvPicPr>
                    <pic:cNvPr id="0" name="A 28537-2026 karta.png"/>
                    <pic:cNvPicPr/>
                  </pic:nvPicPr>
                  <pic:blipFill>
                    <a:blip r:embed="rId16"/>
                    <a:stretch>
                      <a:fillRect/>
                    </a:stretch>
                  </pic:blipFill>
                  <pic:spPr>
                    <a:xfrm>
                      <a:off x="0" y="0"/>
                      <a:ext cx="5486400" cy="3955487"/>
                    </a:xfrm>
                    <a:prstGeom prst="rect"/>
                  </pic:spPr>
                </pic:pic>
              </a:graphicData>
            </a:graphic>
          </wp:inline>
        </w:drawing>
      </w:r>
    </w:p>
    <w:p>
      <w:pPr>
        <w:pStyle w:val="Caption"/>
        <w:spacing w:after="240"/>
      </w:pPr>
      <w:r>
        <w:t>Figur 1. Fyndplatser för naturvårdsarter i och inom 4 meter från avverkningsanmälan. Markörer utan svart kant är placerade på fyndplatsen. Markörer med svart kant är placerade vid sidan av fyndplatsen och har ett svart streck som visar fyndplatsens exakta position. Kartans mittpunktskoordinat är N 7007858, E 650803 i SWEREF 99 TM.</w:t>
      </w:r>
    </w:p>
    <w:p>
      <w:r>
        <w:t>I och inom 4 meter från avverkningsanmälan finns fynd av 9 naturvårdsarter, varav 5 är rödlistade, 3 är fridlysta, 8 är typiska (T) och 2 är signalarter (S): garnlav (VU, T), gränsticka (VU, T), lunglav (NT, T), skrovellav (NT, T), tretåig hackspett (NT, T, §4), stuplav (S, T), vedticka (S, T), spillkråka (T, §4) och revlummer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Gränsticka (VU)</w:t>
      </w:r>
      <w:r>
        <w:t xml:space="preserve"> är en mycket bra signalart inom hela sitt utbredningsområde. Den är huvudsakligen knuten till restbestånd av barrnaturskog och förekommer med ett tydligt optimum i orörda eller måttligt påverkade gamla granskogar där det föreligger långvarig kontinuitet av grov död ved. Den totala populationen bedöms ha minskat och fortsätter att minska i takt med att grankontinuitetsskogar (äldre tidigare icke kalavverkade skogar) minskar i areal. Minskningstakten överstiger gränsvärdet för sårbar (VU). Lokaler som hyser arten bör undantas från skogsbruk, speciellt i mellersta och södra Sverige. Gränsticka är typisk art för </w:t>
      </w:r>
      <w:r>
        <w:rPr>
          <w:i/>
        </w:rPr>
        <w:t>9010 Taiga</w:t>
      </w:r>
      <w:r>
        <w:t xml:space="preserve"> (SLU Artdatabanken, 2026; Nitare &amp; Skogsstyrelsen, 2019).</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de sällsynta parasitsvamparna skrovellavsknapp (EN), </w:t>
      </w:r>
      <w:r>
        <w:rPr>
          <w:i/>
        </w:rPr>
        <w:t>Catillaria lobariicola</w:t>
      </w:r>
      <w:r>
        <w:t xml:space="preserve"> (VU) och </w:t>
      </w:r>
      <w:r>
        <w:rPr>
          <w:i/>
        </w:rPr>
        <w:t>Merismatium lobariae</w:t>
      </w:r>
      <w:r>
        <w:t xml:space="preserve"> (DD). Skrovellav är typisk art för </w:t>
      </w:r>
      <w:r>
        <w:rPr>
          <w:i/>
        </w:rPr>
        <w:t xml:space="preserve">9010 Taiga, 9020 Nordlig ädellövskog, 9040 Fjällbjörkskog, 9070 Trädklädd betesmark, 9160 Näringsrik ekskog, 9180 Ädellövskog i branter, 9190 Näringsfattig ekskog, 8210 Kalkbranter </w:t>
      </w:r>
      <w:r>
        <w:t xml:space="preserve">och </w:t>
      </w:r>
      <w:r>
        <w:rPr>
          <w:i/>
        </w:rPr>
        <w:t>6530 Lövängar</w:t>
      </w:r>
      <w:r>
        <w:t xml:space="preserve"> (SLU Artdatabanken, 2026; Nitare &amp; Skogsstyrelsen, 2019).</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9 naturvårdsarter varav 5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