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23688-2026 i Kramfors kommun</w:t>
      </w:r>
    </w:p>
    <w:p>
      <w:r>
        <w:t>Detta klagomål behandlar höga naturvärden i avverkningsanmälan A 23688-2026 i Kramfors kommun som inkom 2026-05-22 och omfattar 6,8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3688-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7005647, E 653217 i SWEREF 99 TM.</w:t>
      </w:r>
    </w:p>
    <w:p>
      <w:r>
        <w:t>I och inom 16 meter från avverkningsanmälan finns fynd av 15 naturvårdsarter, varav 7 är rödlistade, 5 är fridlysta, 13 är typiska (T) och 4 är signalarter (S): aspgelélav (VU, T), garnlav (VU, T), kolflarnlav (NT, T), mörk kolflarnlav (NT), rynkskinn (NT, T), tretåig hackspett (NT, T, §4), ullticka (NT, T), korallblylav (S, T), spindelblomster (S, T, §8), stuplav (S, T), vedticka (S, T), ormbär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