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832-2025 i Kramfors kommun</w:t>
      </w:r>
    </w:p>
    <w:p>
      <w:r>
        <w:t>Detta klagomål behandlar höga naturvärden i samrådsanmälan S 832-2025 i Kramfors kommun som inkom 2025-03-17 och omfattar 341,5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S 832-2025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6984079, E 626068 i SWEREF 99 TM.</w:t>
      </w:r>
    </w:p>
    <w:p>
      <w:r>
        <w:t>I och inom 17 meter från samrådsanmälan finns fynd av 4 naturvårdsarter, varav 4 är rödlistade och 2 är fridlysta: topplåsbräken (VU, §8), höstlåsbräken (NT, §8), månlåsbräken (NT) och nordlåsbräken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