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38014-2024 i Kramfors kommun</w:t>
      </w:r>
    </w:p>
    <w:p>
      <w:r>
        <w:t>Detta dokument behandlar höga naturvärden i avverkningsanmälan A 38014-2024 i Kramfors kommun. Denna avverkningsanmälan inkom 2024-09-09 00:00:00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23 naturvårdsarter hittats: raggtaggsvamp (EN), gyllenspindling (VU), koppartaggsvamp (VU), dofttaggsvamp (NT), persiljespindling (NT), spillkråka (NT, §4), violöra (DD), fjällig taggsvamp s.str. (S), kalktallört (S), kryddspindling (S), mörk husmossa (S), rökmusseron (S), skarp dropptaggsvamp (S), skogshakmossa (S), skogsknipprot (S, §8), strimspindling (S), svart trolldruva (S), svavelriska (S), vårärt (S), zontaggsvamp (S), ögonpyrola (S), nattviol (§8)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7905"/>
            <wp:docPr id="1" name="Picture 1"/>
            <wp:cNvGraphicFramePr>
              <a:graphicFrameLocks noChangeAspect="1"/>
            </wp:cNvGraphicFramePr>
            <a:graphic>
              <a:graphicData uri="http://schemas.openxmlformats.org/drawingml/2006/picture">
                <pic:pic>
                  <pic:nvPicPr>
                    <pic:cNvPr id="0" name="A 38014-2024 karta.png"/>
                    <pic:cNvPicPr/>
                  </pic:nvPicPr>
                  <pic:blipFill>
                    <a:blip r:embed="rId16"/>
                    <a:stretch>
                      <a:fillRect/>
                    </a:stretch>
                  </pic:blipFill>
                  <pic:spPr>
                    <a:xfrm>
                      <a:off x="0" y="0"/>
                      <a:ext cx="5486400" cy="60979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6983169, E 670833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Gyllenspindling (VU)</w:t>
      </w:r>
      <w:r>
        <w:t xml:space="preserve"> bildar mykorrhiza med gran i ängsgranskog på kalkrik mark, mer sällan med tall i kalktallskog. Minskningstakten uppgår till 30 % inom 50 år och överstiger gränsvärdet för Sårbar (VU) enligt A-kriteriet. Skogsbruk med kalavverkning, markberedning etc. är ogynnsamt för arten. Barrskog på kalkrik mark är en synnerligen skyddsvärd biotop varav fler områden behöver skyddas (SLU Artdatabanken, 2024).</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spillkråka (NT, §4), skogsknipprot (S, §8), nattviol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Skogsknipprot (§8)</w:t>
      </w:r>
      <w:r>
        <w:t xml:space="preserve"> är fridlyst enligt 8§ artskyddsförordningen och typisk art för </w:t>
      </w:r>
      <w:r>
        <w:rPr>
          <w:i/>
        </w:rPr>
        <w:t>9050 Näringsrik granskog</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