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2112-2026 i Kramfors kommun</w:t>
      </w:r>
    </w:p>
    <w:p>
      <w:r>
        <w:t>Denna tillsynsbegäran behandlar höga naturvärden i samrådsanmälan S 2112-2026 i Kramfors kommun som inkom 2026-08-07 och omfattar 3,9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S 2112-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6991528, E 626940 i SWEREF 99 TM.</w:t>
      </w:r>
    </w:p>
    <w:p>
      <w:r>
        <w:t>I och inom 9 meter från samrådsanmälan finns fynd av 9 naturvårdsarter, varav 8 är rödlistade, 1 är fridlyst, 7 är typiska (T) och 1 är signalart (S): garnlav (VU, T), knärot (VU, T, §8), ulltickeporing (VU), kandelabersvamp (NT, T), kötticka (NT), lunglav (NT, T), rosenticka (NT, T),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2.38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S 2112-2026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6991528, E 626940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kandelabersvamp (NT, T), lunglav (NT, T), rosenticka (NT, T), ullticka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