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25307-2025 i Kramfors kommun</w:t>
      </w:r>
    </w:p>
    <w:p>
      <w:r>
        <w:t>Detta dokument behandlar höga naturvärden i avverkningsanmälan A 25307-2025 i Kramfors kommun. Denna avverkningsanmälan inkom 2025-05-23 13:45:48 och omfattar 36,6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blackticka (VU), knärot (VU, §8), garnlav (NT), granticka (NT), gränsticka (NT), Leptoporus mollis (NT), lunglav (NT), nordfladdermus (NT, §4a), rosenticka (NT), ullticka (NT), mörk husmossa (S), tjäder (§4)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68586"/>
            <wp:docPr id="1" name="Picture 1"/>
            <wp:cNvGraphicFramePr>
              <a:graphicFrameLocks noChangeAspect="1"/>
            </wp:cNvGraphicFramePr>
            <a:graphic>
              <a:graphicData uri="http://schemas.openxmlformats.org/drawingml/2006/picture">
                <pic:pic>
                  <pic:nvPicPr>
                    <pic:cNvPr id="0" name="A 25307-2025 karta.png"/>
                    <pic:cNvPicPr/>
                  </pic:nvPicPr>
                  <pic:blipFill>
                    <a:blip r:embed="rId16"/>
                    <a:stretch>
                      <a:fillRect/>
                    </a:stretch>
                  </pic:blipFill>
                  <pic:spPr>
                    <a:xfrm>
                      <a:off x="0" y="0"/>
                      <a:ext cx="5486400" cy="20685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6987774, E 626304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nordfladdermus (NT, §4a),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5.21 ha med buffertzonerna och får av detta skäl inte avverkas.</w:t>
      </w:r>
    </w:p>
    <w:p>
      <w:pPr>
        <w:pStyle w:val="Caption"/>
      </w:pPr>
      <w:r>
        <w:drawing>
          <wp:inline xmlns:a="http://schemas.openxmlformats.org/drawingml/2006/main" xmlns:pic="http://schemas.openxmlformats.org/drawingml/2006/picture">
            <wp:extent cx="5486400" cy="2326156"/>
            <wp:docPr id="2" name="Picture 2"/>
            <wp:cNvGraphicFramePr>
              <a:graphicFrameLocks noChangeAspect="1"/>
            </wp:cNvGraphicFramePr>
            <a:graphic>
              <a:graphicData uri="http://schemas.openxmlformats.org/drawingml/2006/picture">
                <pic:pic>
                  <pic:nvPicPr>
                    <pic:cNvPr id="0" name="A 25307-2025 karta knärot.png"/>
                    <pic:cNvPicPr/>
                  </pic:nvPicPr>
                  <pic:blipFill>
                    <a:blip r:embed="rId17"/>
                    <a:stretch>
                      <a:fillRect/>
                    </a:stretch>
                  </pic:blipFill>
                  <pic:spPr>
                    <a:xfrm>
                      <a:off x="0" y="0"/>
                      <a:ext cx="5486400" cy="23261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6987774, E 626304 i SWEREF 99 TM.</w:t>
      </w:r>
    </w:p>
    <w:p>
      <w:pPr>
        <w:pStyle w:val="Caption"/>
      </w:pPr>
    </w:p>
    <w:p>
      <w:r>
        <w:rPr>
          <w:b/>
        </w:rPr>
        <w:t>Nordfladdermus (NT, §4a)</w:t>
      </w:r>
      <w:r>
        <w:t xml:space="preserve"> omfattas av bilaga 4 EU:s art- och habitatdirektiv vilket innebär ett strikt skydd där arten och dess livsmiljöer ska bevaras. 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Nordfladdermus har minskat med 27,5 (5–50) % under de senaste 21 åren och minskningstakten för den svenska populationen bedöms vara nära gränsvärdet för Sårbar (VU). (A2bc) (SLU Artdatabanken, 2024; Skogsstyrelsen, 2016).</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Nordfladdermus – ekologi samt krav på livsmiljön</w:t>
      </w:r>
    </w:p>
    <w:p>
      <w:r>
        <w:t>Nordfladdermus (NT, §4a) omfattas av bilaga 4 EU:s art- och habitatdirektiv vilket innebär ett strikt skydd för arten och dess livsmiljöer. Arten har minskat med 27,5 (5–50) % under de senaste 21 åren och minskningstakten för den svenska populationen bedöms vara nära gränsvärdet för Sårbar (VU). (A2bc) (SLU Artdatabanken, 2024).</w:t>
      </w:r>
    </w:p>
    <w:p>
      <w:r>
        <w:t>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(SLU Artdatabanken, 2024; Skogsstyrelsen, 2016).</w:t>
      </w:r>
    </w:p>
    <w:p>
      <w:r>
        <w:t>Fladdermöss är beroende av hänsyn på landskapsnivå och det är viktigt att alla typer av vatten och våtmarker samt fuktiga skogspartier återställs och bevaras. Sväm- och sumpskog ska alltid sparas, och äldre lövmiljöer bör alltid sparas för födosök, koloniplatser och viloplatser. Utöver kantzoner mot vatten och våtmarker bör tillräckligt breda skyddszoner av uppväxt skog sparas för att skapa och bevara vindskyddade födosöksmiljöer. Genom att binda samman befintliga skogsbestånd med korridorer av uppvuxen skog skapas ett fladdermusvänligt landskap (SLU Artdatabanken, 2024; Skogsstyrelsen, 2016).</w:t>
      </w:r>
    </w:p>
    <w:p>
      <w:pPr>
        <w:pStyle w:val="Heading2"/>
      </w:pPr>
      <w:r>
        <w:t>Referenser – nordfladdermus</w:t>
      </w:r>
    </w:p>
    <w:p>
      <w:r>
        <w:t xml:space="preserve">Skogsstyrelsen, 2016. </w:t>
      </w:r>
      <w:r>
        <w:rPr>
          <w:i/>
        </w:rPr>
        <w:t xml:space="preserve">Vägledning för hänsyn till nordfladdermus. </w:t>
      </w:r>
      <w:r>
        <w:t>Vägledningar och kunskapsstöd artskydd - Skogsstyrelsen</w:t>
      </w:r>
    </w:p>
    <w:p>
      <w:r>
        <w:t>SLU Artdatabanken, 2024.</w:t>
      </w:r>
      <w:r>
        <w:rPr>
          <w:i/>
        </w:rPr>
        <w:t xml:space="preserve">  Artfakta: nordfladdermus (Eptesicus nilssonii). </w:t>
      </w:r>
      <w:r>
        <w:t>https://artfakta.se/taxa/205998</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