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38950-2021 i Kramfors kommun</w:t>
      </w:r>
    </w:p>
    <w:p>
      <w:r>
        <w:t>Detta dokument behandlar höga naturvärden i avverkningsanmälan A 38950-2021 i Kramfors kommun. Denna avverkningsanmälan inkom 2021-08-03 00:00:00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ringlav (VU), doftskinn (NT), garnlav (NT), granticka (NT), gränsticka (NT), gul taggsvamp (NT), talltita (NT, §4), ullticka (NT), violettgrå tagellav (NT)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38950-2021 karta.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6983002, E 661234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Ringlav (VU)</w:t>
      </w:r>
      <w:r>
        <w:t>, rödlistad som sårbar, växer oftast på gran och tall i brandrefugiala halvöppna skogar med hög och jämn luftfuktighet. Under de senaste 50 åren har minskningstakten uppgått till 30 (20–40) %. Hur mycket den kommer att minska i framtiden beror på vad som kommer att ske med de stora förekomster som hittats men som ännu saknar skydd. Arten, som är placerad i toppen på Skogsstyrelsen värdepyramid för bedömning av skog med höga naturvärden, är ytterst känslig för förändringar i mikroklimatet och den överlever inte i skogsbestånd som gränsar till kalhyggen. Lavens förekomster tillsammans med väl tilltagna skyddszoner måste skyddas och undantas från produktionsinriktat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