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avverkningsanmälan A 45577-2021 i Kramfors kommun. Denna avverkningsanmälan inkom 2021-09-01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ejder (EN, §4), grönfink (EN, §4), hussvala (VU, §4), fiskmås (NT, §4), gulsparv (NT, §4), spillkråka (NT, §4), svartvit flugsnappare (NT, §4), tobisgrissla (NT, §4) och trädlärka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Följande fridlysta arter har sina livsmiljöer och växtplatser i den avverkningsanmälda skogen: ejder (EN, §4), grönfink (EN, §4), hussvala (VU, §4), fiskmås (NT, §4), gulsparv (NT, §4), spillkråka (NT, §4), svartvit flugsnappare (NT, §4), tobisgrissla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