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32908-2024 i Kramfors kommun</w:t>
      </w:r>
    </w:p>
    <w:p>
      <w:r>
        <w:t>Denna tillsynsbegäran behandlar höga naturvärden i avverkningsanmälan A 32908-2024 i Kramfors kommun som inkom 2024-08-12 och omfattar 0,7 ha.</w:t>
      </w:r>
    </w:p>
    <w:p>
      <w:pPr>
        <w:pStyle w:val="Caption"/>
      </w:pPr>
      <w:r>
        <w:drawing>
          <wp:inline xmlns:a="http://schemas.openxmlformats.org/drawingml/2006/main" xmlns:pic="http://schemas.openxmlformats.org/drawingml/2006/picture">
            <wp:extent cx="4598870" cy="5724000"/>
            <wp:docPr id="1" name="Picture 1"/>
            <wp:cNvGraphicFramePr>
              <a:graphicFrameLocks noChangeAspect="1"/>
            </wp:cNvGraphicFramePr>
            <a:graphic>
              <a:graphicData uri="http://schemas.openxmlformats.org/drawingml/2006/picture">
                <pic:pic>
                  <pic:nvPicPr>
                    <pic:cNvPr id="0" name="A 32908-2024 karta.png"/>
                    <pic:cNvPicPr/>
                  </pic:nvPicPr>
                  <pic:blipFill>
                    <a:blip r:embed="rId16"/>
                    <a:stretch>
                      <a:fillRect/>
                    </a:stretch>
                  </pic:blipFill>
                  <pic:spPr>
                    <a:xfrm>
                      <a:off x="0" y="0"/>
                      <a:ext cx="4598870" cy="5724000"/>
                    </a:xfrm>
                    <a:prstGeom prst="rect"/>
                  </pic:spPr>
                </pic:pic>
              </a:graphicData>
            </a:graphic>
          </wp:inline>
        </w:drawing>
      </w:r>
    </w:p>
    <w:p>
      <w:pPr>
        <w:pStyle w:val="Caption"/>
        <w:spacing w:after="240"/>
      </w:pPr>
      <w:r>
        <w:t>Figur 1. Fyndplatser för naturvårdsarter inom 22 meter från avverkningsanmälan. Markörer utan svart kant är placerade på fyndplatsen. Markörer med svart kant är placerade vid sidan av fyndplatsen och har ett svart streck som visar fyndplatsens exakta position. Kartans mittpunktskoordinat är N 6968782, E 661323 i SWEREF 99 TM.</w:t>
      </w:r>
    </w:p>
    <w:p>
      <w:r>
        <w:t>Inom 22 meter från avverkningsanmälan finns fynd av 3 naturvårdsarter, varav 3 är rödlistade och 3 är typiska (T): aspfjädermossa (VU, T), aspgelélav (VU, T) och lunglav (NT,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Se även ytterligare artfakta i BILAGA 1. De påträffade naturvårdsarterna är ett tydligt kvitto på att det rör sig om en skog med höga naturvärden.</w:t>
      </w:r>
    </w:p>
    <w:p>
      <w:r>
        <w:rPr>
          <w:b/>
        </w:rPr>
        <w:t>Aspfjädermossa (VU)</w:t>
      </w:r>
      <w:r>
        <w:t xml:space="preserve"> är knuten till gamla skogar, framförallt på näringsrik, högproduktiv mark där den växer på bark av främst ask, lönn och asp. Arten är placerad högst upp i Skogsstyrelsens värdepyramid för bedömning av skog med höga naturvärden. Samtliga lokaler måste ges ett ändamålsenligt skydd och ett urval förekomster bör övervakas för att följa populationens status. Aspfjädermossa är typisk art för </w:t>
      </w:r>
      <w:r>
        <w:rPr>
          <w:i/>
        </w:rPr>
        <w:t>9010 Taiga</w:t>
      </w:r>
      <w:r>
        <w:t xml:space="preserve"> (SLU Artdatabanken, 2024; Nitare &amp; Skogsstyrelsen, 2019).</w:t>
      </w:r>
    </w:p>
    <w:p>
      <w:r>
        <w:rPr>
          <w:b/>
        </w:rPr>
        <w:t>Aspgelélav (VU)</w:t>
      </w:r>
      <w:r>
        <w:t xml:space="preserve"> växer praktiskt taget enbart på asp i skog med hög luftfuktighet. Aspgelélav missgynnas vid slutavverkning. I norra Sverige hotas arten genom slutavverkning av äldre barrskog med åldriga aspar, ofta på skogsbergens sluttningar. Arten försvinner på aspar som lämnas kvar på hyggen. Aspgelélav (VU) är typisk art för </w:t>
      </w:r>
      <w:r>
        <w:rPr>
          <w:i/>
        </w:rPr>
        <w:t>9010 Taiga</w:t>
      </w:r>
      <w:r>
        <w:t xml:space="preserve"> (SLU Artdatabanken, 2024).</w:t>
      </w:r>
    </w:p>
    <w:p>
      <w:r>
        <w:rPr>
          <w:b/>
        </w:rPr>
        <w:t>Lunglav (NT)</w:t>
      </w:r>
      <w:r>
        <w:t xml:space="preserve"> är en av vårt lands främsta signalarter som överallt indikerar gamla lövträd, skogsbestånd med höga naturvärden och ekosystem med långskoglig kontinuitet. Lokalt kan förekomsten vara mycket riklig men den hittas nästan enbart i gamla och ej slutavverkade skogar. Artens samtliga förekomster bör uppmärksammas från naturvårdssynpunkt, då många lokaler även hyser andra ovanliga och rödlistade arter. Rikliga förekomster bör skyddas med biotopskydd, frivilliga avsättningar eller reservat. På lunglav kan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påträffas. 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 Nitare &amp; Skogsstyrelsen, 2019).</w:t>
      </w:r>
    </w:p>
    <w:p>
      <w:r>
        <w:br w:type="page"/>
      </w:r>
    </w:p>
    <w:p>
      <w:pPr>
        <w:pStyle w:val="Title"/>
      </w:pPr>
      <w:r>
        <w:t>BILAGA 1 – Rödlistade arter</w:t>
      </w:r>
    </w:p>
    <w:p>
      <w:pPr>
        <w:pStyle w:val="Heading1"/>
      </w:pPr>
      <w:r>
        <w:t>Lunglav – ekologi samt krav på livsmiljön</w:t>
      </w:r>
    </w:p>
    <w:p>
      <w:r>
        <w:t xml:space="preserve">Lunglav (NT) är en av vårt lands främsta signalarter som överallt indikerar gamla lövträd, skogsbestånd med höga naturvärden och ekosystem med lång skoglig kontinuitet. Lokalt kan förekomsten vara mycket riklig men den hittas nästan enbart i gamla och ej slutavverkade skogar. Artens samtliga förekomster bör uppmärksammas från naturvårdssynpunkt, då många lokaler även hyser andra ovanliga och rödlistade arter, däribland de sällsynta lavparasiterna lunglavshårprick (CR), </w:t>
      </w:r>
      <w:r>
        <w:rPr>
          <w:i/>
        </w:rPr>
        <w:t>Abrothallus diederichii</w:t>
      </w:r>
      <w:r>
        <w:t xml:space="preserve"> (VU), </w:t>
      </w:r>
      <w:r>
        <w:rPr>
          <w:i/>
        </w:rPr>
        <w:t>Abrothallus lobariae</w:t>
      </w:r>
      <w:r>
        <w:t xml:space="preserve"> (VU), </w:t>
      </w:r>
      <w:r>
        <w:rPr>
          <w:i/>
        </w:rPr>
        <w:t>Calycina lobariae</w:t>
      </w:r>
      <w:r>
        <w:t xml:space="preserve"> (VU), lunglavsknapp (VU) och skrovelmössing (VU), som växer på lunglav. Rikliga förekomster med lunglav bör skyddas med biotopskydd, frivilliga avsättningar eller reservat (SLU Artdatabanken, 2026; Nitare &amp; Skogsstyrelsen, 2019).</w:t>
      </w:r>
    </w:p>
    <w:p>
      <w:r>
        <w:t xml:space="preserve">Lunglav är typisk art för </w:t>
      </w:r>
      <w:r>
        <w:rPr>
          <w:i/>
        </w:rPr>
        <w:t>9010 Taiga, 9020 Nordlig ädellövskog, 9110 Näringsfattig bokskog, 9130 Näringsrik bokskog, 9160 Näringsrik ekskog, 9180 Ädellövskog i branter, 9190 Näringsfattig ekskog, 9070 Trädklädd betesmark, 9040 Fjällbjörkskog</w:t>
      </w:r>
      <w:r>
        <w:t xml:space="preserve"> och</w:t>
      </w:r>
      <w:r>
        <w:rPr>
          <w:i/>
        </w:rPr>
        <w:t xml:space="preserve"> 6530 Lövängar</w:t>
      </w:r>
      <w:r>
        <w:t xml:space="preserve"> (SLU Artdatabanken, 2026).</w:t>
      </w:r>
    </w:p>
    <w:p>
      <w:pPr>
        <w:pStyle w:val="Heading2"/>
      </w:pPr>
      <w:r>
        <w:t>Referenser – lunglav</w:t>
      </w:r>
    </w:p>
    <w:p>
      <w:r>
        <w:t xml:space="preserve">Nitare, J. och Skogsstyrelsen, 2019. </w:t>
      </w:r>
      <w:r>
        <w:rPr>
          <w:i/>
        </w:rPr>
        <w:t xml:space="preserve">Skyddsvärd skog – Naturvårdsarter och andra kriterier för naturvärdesbedömning. </w:t>
      </w:r>
      <w:r>
        <w:t>Skogsstyrelsen.</w:t>
      </w:r>
    </w:p>
    <w:p>
      <w:r>
        <w:t xml:space="preserve">SLU Artdatabanken, 2026.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2026-10-04</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