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45577-2021 i Kramfors kommun</w:t>
      </w:r>
    </w:p>
    <w:p>
      <w:r>
        <w:t>Detta dokument behandlar höga naturvärden i avverkningsanmälan A 45577-2021 i Kramfors kommun. Denna avverkningsanmälan inkom 2021-09-01 00:00:00 och omfattar 6,7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ejder (EN, §4), grönfink (EN, §4), hussvala (VU, §4), fiskmås (NT, §4), gulsparv (NT, §4), spillkråka (NT, §4), svartvit flugsnappare (NT, §4), tobisgrissla (NT, §4) och trädlärka (§4).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2275"/>
            <wp:docPr id="1" name="Picture 1"/>
            <wp:cNvGraphicFramePr>
              <a:graphicFrameLocks noChangeAspect="1"/>
            </wp:cNvGraphicFramePr>
            <a:graphic>
              <a:graphicData uri="http://schemas.openxmlformats.org/drawingml/2006/picture">
                <pic:pic>
                  <pic:nvPicPr>
                    <pic:cNvPr id="0" name="A 45577-2021 karta.png"/>
                    <pic:cNvPicPr/>
                  </pic:nvPicPr>
                  <pic:blipFill>
                    <a:blip r:embed="rId16"/>
                    <a:stretch>
                      <a:fillRect/>
                    </a:stretch>
                  </pic:blipFill>
                  <pic:spPr>
                    <a:xfrm>
                      <a:off x="0" y="0"/>
                      <a:ext cx="5486400" cy="53722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6987273, E 679275 i SWEREF 99 TM.</w:t>
      </w:r>
    </w:p>
    <w:p>
      <w:pPr>
        <w:pStyle w:val="Heading1"/>
      </w:pPr>
      <w:r>
        <w:t>Fridlysta arter</w:t>
      </w:r>
    </w:p>
    <w:p>
      <w:r>
        <w:t>Följande fridlysta arter har sina livsmiljöer och växtplatser i den avverkningsanmälda skogen: ejder (EN, §4), grönfink (EN, §4), hussvala (VU, §4), fiskmås (NT, §4), gulsparv (NT, §4), spillkråka (NT, §4), svartvit flugsnappare (NT, §4), tobisgrissla (NT, §4) och trädlärka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