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20804-2026 i Kramfors kommun</w:t>
      </w:r>
    </w:p>
    <w:p>
      <w:r>
        <w:t>Denna tillsynsbegäran behandlar höga naturvärden i avverkningsanmälan A 20804-2026 i Kramfors kommun som inkom 2026-04-29 och omfattar 11,9 ha.</w:t>
      </w:r>
    </w:p>
    <w:p>
      <w:pPr>
        <w:pStyle w:val="Caption"/>
      </w:pPr>
      <w:r>
        <w:drawing>
          <wp:inline xmlns:a="http://schemas.openxmlformats.org/drawingml/2006/main" xmlns:pic="http://schemas.openxmlformats.org/drawingml/2006/picture">
            <wp:extent cx="5486400" cy="4656841"/>
            <wp:docPr id="1" name="Picture 1"/>
            <wp:cNvGraphicFramePr>
              <a:graphicFrameLocks noChangeAspect="1"/>
            </wp:cNvGraphicFramePr>
            <a:graphic>
              <a:graphicData uri="http://schemas.openxmlformats.org/drawingml/2006/picture">
                <pic:pic>
                  <pic:nvPicPr>
                    <pic:cNvPr id="0" name="A 20804-2026 karta.png"/>
                    <pic:cNvPicPr/>
                  </pic:nvPicPr>
                  <pic:blipFill>
                    <a:blip r:embed="rId16"/>
                    <a:stretch>
                      <a:fillRect/>
                    </a:stretch>
                  </pic:blipFill>
                  <pic:spPr>
                    <a:xfrm>
                      <a:off x="0" y="0"/>
                      <a:ext cx="5486400" cy="4656841"/>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har ett svart streck som visar fyndplatsens exakta position. Kartans mittpunktskoordinat är N 7004422, E 652929 i SWEREF 99 TM.</w:t>
      </w:r>
    </w:p>
    <w:p>
      <w:r>
        <w:t>I avverkningsanmälan finns fynd av 12 naturvårdsarter, varav 4 är rödlistade, 3 är fridlysta, 11 är typiska (T) och 4 är signalarter (S): garnlav (VU, T), brunpudrad nållav (NT, T), rynkskinn (NT, T), ullticka (NT, T), bårdlav (S, T), stor aspticka (S, T), stuplav (S, T), vedticka (S, T), järpe (T, §4), liljekonvalj (T), spillkråka (T, §4) och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Brunpudrad nållav (NT)</w:t>
      </w:r>
      <w:r>
        <w:t xml:space="preserve"> är beroende av hög, jämn luftfuktighet och kan påträffas i fuktiga skogar av naturskogskaraktär, ofta i sumpgranskog eller andra sumpskogar. Arten är placerad högst upp i Skogsstyrelsens värdepyramid för bedömning av skog med höga naturvärden och förekomster bör undantas från skogsbruksåtgärder. Brunpudrad nållav är typisk art för </w:t>
      </w:r>
      <w:r>
        <w:rPr>
          <w:i/>
        </w:rPr>
        <w:t>9010 Taiga</w:t>
      </w:r>
      <w:r>
        <w:t xml:space="preserve"> (SLU Artdatabanken, 2024; Nitare &amp; Skogsstyrelsen, 2019).</w:t>
      </w:r>
    </w:p>
    <w:p>
      <w:r>
        <w:rPr>
          <w:b/>
        </w:rPr>
        <w:t>Rynkskinn (NT)</w:t>
      </w:r>
      <w:r>
        <w:t xml:space="preserve">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och lokalerna, som oftast har höga biologiska kvaliteter, bör lämnas till fri utveckling. Rynkskinn är typisk art för </w:t>
      </w:r>
      <w:r>
        <w:rPr>
          <w:i/>
        </w:rPr>
        <w:t xml:space="preserve">9010 Taiga, 9050 Näringsrik granskog </w:t>
      </w:r>
      <w:r>
        <w:t>och</w:t>
      </w:r>
      <w:r>
        <w:rPr>
          <w:i/>
        </w:rPr>
        <w:t xml:space="preserve"> 9030 Landhöjningsskog</w:t>
      </w:r>
      <w:r>
        <w:t xml:space="preserve"> (Nitare &amp; Skogsstyrelsen, 2019; SLU Artdatabanken, 2026).</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Bårdlav</w:t>
      </w:r>
      <w:r>
        <w:t xml:space="preserve"> signalerar miljöer med höga naturvärden och på lokalerna finns vanligtvis många andra ovanliga och rödlistade arter. Den visar även på platser med hög och jämn luftfuktighet. På bårdlav och andra njurlavar (Nephroma) kan de sällsynta parasiterna </w:t>
      </w:r>
      <w:r>
        <w:rPr>
          <w:i/>
        </w:rPr>
        <w:t xml:space="preserve">Protounguicularia nephromatis </w:t>
      </w:r>
      <w:r>
        <w:t xml:space="preserve">(VU) och </w:t>
      </w:r>
      <w:r>
        <w:rPr>
          <w:i/>
        </w:rPr>
        <w:t xml:space="preserve">Tremella nephromatis </w:t>
      </w:r>
      <w:r>
        <w:t xml:space="preserve">(DD) påträffas. Bårdlav är typisk art för </w:t>
      </w:r>
      <w:r>
        <w:rPr>
          <w:i/>
        </w:rPr>
        <w:t xml:space="preserve">9010 Taiga, 9020 Nordlig ädellövskog, 9070 Trädklädd betesmark, 9110 Näringsfattig bokskog, 9160 Näringsrik ekskog, 9180 Ädellövskog i branter </w:t>
      </w:r>
      <w:r>
        <w:t>och</w:t>
      </w:r>
      <w:r>
        <w:rPr>
          <w:i/>
        </w:rPr>
        <w:t xml:space="preserve"> 9190 Näringsfattig ekskog</w:t>
      </w:r>
      <w:r>
        <w:t xml:space="preserve"> (SLU Artdatabanken, 2026; Nitare &amp; Skogsstyrelsen, 2019).</w:t>
      </w:r>
    </w:p>
    <w:p>
      <w:r>
        <w:rPr>
          <w:b/>
        </w:rPr>
        <w:t>Stor aspticka</w:t>
      </w:r>
      <w:r>
        <w:t xml:space="preserve"> är knuten till gamla levande aspar och orsakar karaktäristiska inbuktningar i stammen (så kallad nekroser). Slutavverknings- och gallringsåtgärder i löv- och blandskogsbestånd som innebär att tillgången på grov asp minskar är ett hot mot arten. Det är viktigt att äldre aspar och aspbestånd sparas och för att gynna arten på sikt bör aspinslagen i t.ex. bergbranter, raviner, skogsbryn och kring äldre odlingsmarker generellt sparas i större utsträckning än vad som görs idag. Stor aspticka är typisk art för </w:t>
      </w:r>
      <w:r>
        <w:rPr>
          <w:i/>
        </w:rPr>
        <w:t xml:space="preserve">9010 Taiga </w:t>
      </w:r>
      <w:r>
        <w:t xml:space="preserve">och </w:t>
      </w:r>
      <w:r>
        <w:rPr>
          <w:i/>
        </w:rPr>
        <w:t>9030 Landhöjningsskog</w:t>
      </w:r>
      <w:r>
        <w:t xml:space="preserve"> (SLU Artdatabanken, 2024; Nitare &amp; Skogsstyrelsen, 2019).</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Järpe (§4)</w:t>
      </w:r>
      <w:r>
        <w:t xml:space="preserve">, som är upptagen i bilaga 1 och 2 EU:s fågeldirektiv, är mycket stationär inom sitt revir som är minst 25 hektar stort. Livsmiljöerna utgörs av tät barrskog med inblandning av lövträd och en väl utvecklad flerskiktad struktur med bärris och yngre eller undertryckta, täta granar i ett lägre skikt, ofta utmed bäckar och åar inne i den skyddande granskogen. Den överlever inte om dess livsmiljö kalavverkas och är även känslig för röjning, gallring och avverkning där unga granar och lövträd inte sparas i tillräcklig omfattning. Arten finns i sammanhängande grandominerad skog över hela Sverige men förekomsterna är betydligt glesare i Götaland än i övriga landet. Järpe är typisk art för </w:t>
      </w:r>
      <w:r>
        <w:rPr>
          <w:i/>
        </w:rPr>
        <w:t xml:space="preserve">9010 Taiga, 9080 Lövsumpskog </w:t>
      </w:r>
      <w:r>
        <w:t xml:space="preserve">och </w:t>
      </w:r>
      <w:r>
        <w:rPr>
          <w:i/>
        </w:rPr>
        <w:t xml:space="preserve">9740 Skogsbevuxen myr </w:t>
      </w:r>
      <w:r>
        <w:t>(SLU Artdatabanken, 2026).</w:t>
      </w:r>
    </w:p>
    <w:p>
      <w:r>
        <w:rPr>
          <w:b/>
        </w:rPr>
        <w:t>Liljekonvalj</w:t>
      </w:r>
      <w:r>
        <w:t xml:space="preserve"> är typisk art för </w:t>
      </w:r>
      <w:r>
        <w:rPr>
          <w:i/>
        </w:rPr>
        <w:t>9190 Näringsfattig ekskog</w:t>
      </w:r>
      <w:r>
        <w:t>. På liljekonvalj kan man hitta rostsvampen konvaljerost (NE)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brunpudrad nållav (NT, T), rynkskinn (NT, T), ullticka (NT, T), bårdlav (S, T), stor aspticka (S, T), stuplav (S, T), vedticka (S, T), järpe (T, §4), liljekonvalj (T) och spillkråka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Järpe – ekologi samt krav på livsmiljön</w:t>
      </w:r>
    </w:p>
    <w:p>
      <w:r>
        <w:t>Järpe är fridlyst enligt 4§ artskyddsförordningen och upptagen i bilaga 1 och 2 EU:s fågeldirektiv. Den finns i sammanhängande grandominerad skog över hela Sverige men förekomsterna är betydligt glesare i Götaland än i övriga landet. Järpen har sina livsmiljöer i tät barrskog med inblandning av lövträd och en väl utvecklad flerskiktad struktur med bärris och yngre eller undertryckta, täta granar i ett lägre skikt, ofta utmed bäckar och åar inne i den skyddande granskogen (SLU Artdatabanken, 2026).</w:t>
      </w:r>
    </w:p>
    <w:p>
      <w:r>
        <w:t xml:space="preserve">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Järpe är typisk art för </w:t>
      </w:r>
      <w:r>
        <w:rPr>
          <w:i/>
        </w:rPr>
        <w:t>9010 Taiga, 9740 Skogsbevuxen myr</w:t>
      </w:r>
      <w:r>
        <w:t xml:space="preserve"> och </w:t>
      </w:r>
      <w:r>
        <w:rPr>
          <w:i/>
        </w:rPr>
        <w:t>9080 Lövsumpskog</w:t>
      </w:r>
      <w:r>
        <w:t xml:space="preserve"> (SLU Artdatabanken, 2026).</w:t>
      </w:r>
    </w:p>
    <w:p>
      <w:pPr>
        <w:pStyle w:val="Heading2"/>
      </w:pPr>
      <w:r>
        <w:t>Referenser – järpe</w:t>
      </w:r>
    </w:p>
    <w:p>
      <w:r>
        <w:t xml:space="preserve">SLU Artdatabanken, 2026.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2026-07-26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