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2024).</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(Naturvårdsverket, 2010). Röjning, gallring och avverkning av asp i de landskapsområden där arten fortfarande förekommer är ett direkt hot mot artens långsiktiga överlevnad.</w:t>
      </w:r>
    </w:p>
    <w:p>
      <w:pPr>
        <w:pStyle w:val="Heading2"/>
      </w:pPr>
      <w:r>
        <w:t>Referenser – aspbarkgnagare</w:t>
      </w:r>
    </w:p>
    <w:p>
      <w:r>
        <w:t xml:space="preserve">Naturvårdverket, 2010. </w:t>
      </w:r>
      <w:r>
        <w:rPr>
          <w:i/>
        </w:rPr>
        <w:t>Åtgärdsprogram för hotade arter på asp i Norrland 2010–2014</w:t>
      </w:r>
      <w:r>
        <w:t>. Rapport 6393. Juni 2010</w:t>
      </w:r>
    </w:p>
    <w:p>
      <w:r>
        <w:t xml:space="preserve">SLU Artdatabanken, 2024. </w:t>
      </w:r>
      <w:r>
        <w:rPr>
          <w:i/>
        </w:rPr>
        <w:t xml:space="preserve">Artfaktablad. Naturvård – artfakta. </w:t>
      </w:r>
      <w:r>
        <w:t>SLU Artdatabanken, Uppsala</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