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517-2025 i Kramfors kommun</w:t>
      </w:r>
    </w:p>
    <w:p>
      <w:r>
        <w:t>Detta dokument behandlar höga naturvärden i avverkningsanmälan A 517-2025 i Kramfors kommun. Denna avverkningsanmälan inkom 2025-01-07 11:27:40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storplattnos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517-2025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6968103, E 656613 i SWEREF 99 TM.</w:t>
      </w:r>
    </w:p>
    <w:p>
      <w:r>
        <w:rPr>
          <w:b/>
        </w:rPr>
        <w:t xml:space="preserve">Storplattnos </w:t>
      </w:r>
      <w:r>
        <w:t>är en skalbagge vars larvutveckling sker i och i anslutning till dynsvampar på en rad olika lövträd, t.ex. bok, al, lönn, björk, ek, ask, alm, lind, avenbok, sälg och fågelbär. Främst på äldre, försvagade träd. I norra Sverige främst på skiktdyna som gärna växer på brandskadad björk. I Sydsverige främst på bokdyna på bok, men även björkdyna på björk, och förmodligen även aldyna på al. Uppgifter från stubbdyna och fnöskticka finns också. Arten påverkas negativt av brist på död ved och det föreligger indikation på eller misstanke om populationsminskning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