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9674-2020 i Kramfors kommun</w:t>
      </w:r>
    </w:p>
    <w:p>
      <w:r>
        <w:t>Detta dokument behandlar höga naturvärden i avverkningsanmälan A 9674-2020 i Kramfors kommun. Denna avverkningsanmälan inkom 2020-02-20 och omfattar 25,0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ringlav (VU), garnlav (NT), orange taggsvamp (NT), spillkråka (NT, §4), tallticka (NT), talltita (NT, §4), tjäder (§4) och fläcknycklar (§8).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6644"/>
            <wp:docPr id="1" name="Picture 1"/>
            <wp:cNvGraphicFramePr>
              <a:graphicFrameLocks noChangeAspect="1"/>
            </wp:cNvGraphicFramePr>
            <a:graphic>
              <a:graphicData uri="http://schemas.openxmlformats.org/drawingml/2006/picture">
                <pic:pic>
                  <pic:nvPicPr>
                    <pic:cNvPr id="0" name="A 9674-2020 karta.png"/>
                    <pic:cNvPicPr/>
                  </pic:nvPicPr>
                  <pic:blipFill>
                    <a:blip r:embed="rId16"/>
                    <a:stretch>
                      <a:fillRect/>
                    </a:stretch>
                  </pic:blipFill>
                  <pic:spPr>
                    <a:xfrm>
                      <a:off x="0" y="0"/>
                      <a:ext cx="5486400" cy="7326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6982378, E 660691 i SWEREF 99 TM.</w:t>
      </w:r>
    </w:p>
    <w:p>
      <w:r>
        <w:rPr>
          <w:b/>
        </w:rPr>
        <w:t>Ringlav (VU)</w:t>
      </w:r>
      <w:r>
        <w:t>, rödlistad som sårbar, växer oftast på gran och tall i brandrefugiala halvöppna skogar med hög och jämn luftfuktighet. Under de senaste 50 åren har minskningstakten uppgått till 30 (20–40) %. Hur mycket arten kommer att minska i framtiden beror på vad som kommer att ske med de stora förekomster som hittats men som ännu saknar skydd. Lavens förekomster tillsammans med väl tilltagna skyddszoner måste skyddas och undantas från produktionsinriktat skogsbruk (SLU Artdatabanken, 2024).</w:t>
      </w:r>
    </w:p>
    <w:p>
      <w:pPr>
        <w:pStyle w:val="Heading1"/>
      </w:pPr>
      <w:r>
        <w:t>Fridlysta arter</w:t>
      </w:r>
    </w:p>
    <w:p>
      <w:r>
        <w:t>Följande fridlysta arter har sina livsmiljöer och växtplatser i den avverkningsanmälda skogen: spillkråka (NT, §4), talltita (NT,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