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38014-2024 i Kramfors kommun</w:t>
      </w:r>
    </w:p>
    <w:p>
      <w:r>
        <w:t>Detta klagomål behandlar höga naturvärden i avverkningsanmälan A 38014-2024 i Kramfors kommun som inkom 2024-09-09 och omfattar 4,8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8014-2024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6983169, E 670833 i SWEREF 99 TM.</w:t>
      </w:r>
    </w:p>
    <w:p>
      <w:r>
        <w:t>I och inom 25 meter från avverkningsanmälan finns fynd av 29 naturvårdsarter, varav 15 är rödlistade, 4 är fridlysta, 12 är typiska (T) och 11 är signalarter (S): koppartaggsvamp (EN), raggtaggsvamp (EN), gul taggsvamp (VU, T), gyllenspindling (VU), stor granspindling (VU), violöra (VU), dofttaggsvamp (NT, T), fjällig taggsvamp s.str. (NT), flattoppad klubbsvamp (NT), kryddspindling (NT, T), luddfingersvamp (NT), orange taggsvamp (NT, T), persiljespindling (NT), skarp dropptaggsvamp (NT), vårärt (NT, T), kalktallört (S), kastanjefjällskivling (S), mörk husmossa (S, T), rökmusseron (S), skogshakmossa (S, T), skogsknipprot (S, T, §8), strimspindling (S), svart trolldruva (S, T), svavelriska (S), zontaggsvamp (S), ögonpyrola (S, T), blåsippa (T, §9),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Violöra (VU)</w:t>
      </w:r>
      <w:r>
        <w:t xml:space="preserve"> bildar mykorrhiza med tall i kalkrik, torr, örtrik kalkbarrskog. Beskriven från Italien och i Sverige, hittills med säkerhet endast känd från Öland och Gotland. Knuten till en skogstyp som är starkt hotad av skogsbruk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