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32160-2024 i Kramfors kommun</w:t>
      </w:r>
    </w:p>
    <w:p>
      <w:r>
        <w:t>Detta dokument behandlar höga naturvärden i avverkningsanmälan A 32160-2024 i Kramfors kommun. Denna avverkningsanmälan inkom 2024-08-07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ringlav (VU), garnlav (NT), orange taggsvamp (NT), spillkråka (NT, §4), tallticka (NT), talltita (NT, §4), tjäder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32160-2024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6982775, E 660691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Fridlysta arter</w:t>
      </w:r>
    </w:p>
    <w:p>
      <w:r>
        <w:t>Följande fridlysta arter har sina livsmiljöer och växtplatser i den avverkningsanmälda skogen: spillkråka (NT, §4), talltita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