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2806-2021 i Kramfors kommun</w:t>
      </w:r>
    </w:p>
    <w:p>
      <w:r>
        <w:t>Detta dokument behandlar höga naturvärden i avverkningsanmälan A 2806-2021 i Kramfors kommun. Denna avverkningsanmälan inkom 2021-01-19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gränsticka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3698"/>
            <wp:docPr id="1" name="Picture 1"/>
            <wp:cNvGraphicFramePr>
              <a:graphicFrameLocks noChangeAspect="1"/>
            </wp:cNvGraphicFramePr>
            <a:graphic>
              <a:graphicData uri="http://schemas.openxmlformats.org/drawingml/2006/picture">
                <pic:pic>
                  <pic:nvPicPr>
                    <pic:cNvPr id="0" name="A 2806-2021 karta.png"/>
                    <pic:cNvPicPr/>
                  </pic:nvPicPr>
                  <pic:blipFill>
                    <a:blip r:embed="rId16"/>
                    <a:stretch>
                      <a:fillRect/>
                    </a:stretch>
                  </pic:blipFill>
                  <pic:spPr>
                    <a:xfrm>
                      <a:off x="0" y="0"/>
                      <a:ext cx="5486400" cy="4093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6983695, E 660920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r>
        <w:rPr>
          <w:b/>
        </w:rPr>
        <w:t>Grön jordtunga</w:t>
      </w:r>
      <w:r>
        <w:t xml:space="preserve"> växer i fuktiga lövskogar och svämskogar, oftast i direkt anslutning till bäckar, åar, sjöar och skogskärr. Svampen är uttorkningskänslig och den indikerar biotoper med hög luftfuktighet. All avverkning eller dränering innebär ett hot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