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4529-2026 i Kramfors kommun</w:t>
      </w:r>
    </w:p>
    <w:p>
      <w:r>
        <w:t>Detta dokument behandlar höga naturvärden i avverkningsanmälan A 4529-2026 i Kramfors kommun. Denna avverkningsanmälan inkom 2026-01-24 00:00:00 och omfattar 9,9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10 naturvårdsarter hittats: garnlav (NT), mörk kolflarnlav (NT), rosenticka (NT), skogshare (NT), spillkråka (NT, §4), tallticka (NT), talltita (NT, §4), tretåig hackspett (NT, §4), ullticka (NT) och tjäder (§4).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4212"/>
            <wp:docPr id="1" name="Picture 1"/>
            <wp:cNvGraphicFramePr>
              <a:graphicFrameLocks noChangeAspect="1"/>
            </wp:cNvGraphicFramePr>
            <a:graphic>
              <a:graphicData uri="http://schemas.openxmlformats.org/drawingml/2006/picture">
                <pic:pic>
                  <pic:nvPicPr>
                    <pic:cNvPr id="0" name="A 4529-2026 karta.png"/>
                    <pic:cNvPicPr/>
                  </pic:nvPicPr>
                  <pic:blipFill>
                    <a:blip r:embed="rId16"/>
                    <a:stretch>
                      <a:fillRect/>
                    </a:stretch>
                  </pic:blipFill>
                  <pic:spPr>
                    <a:xfrm>
                      <a:off x="0" y="0"/>
                      <a:ext cx="5486400" cy="2884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7002014, E 644929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Ullticka är typisk art för </w:t>
      </w:r>
      <w:r>
        <w:rPr>
          <w:i/>
        </w:rPr>
        <w:t xml:space="preserve">9010 Taiga, 9050 Näringsrik granskog </w:t>
      </w:r>
      <w:r>
        <w:t xml:space="preserve">och </w:t>
      </w:r>
      <w:r>
        <w:rPr>
          <w:i/>
        </w:rPr>
        <w:t>9030 Landhöjningsskog</w:t>
      </w:r>
      <w:r>
        <w:t xml:space="preserve">.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spillkråka (NT, §4), talltita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och bedöms vara nära gränsvärdet för Sårbar (VU) (A2bc). Spillkråka är en nyckelart i skogliga miljöer vars övergivna bohål utnyttjas av flera andra hålhäckande fågelarter och fladdermöss. Den behöver grova träd, främst tall, asp och bok som boträd. Skogsbruk med korta omloppstider och täta, homogena ungskogar utgör det största hotet. Spillkråka är typisk art för </w:t>
      </w:r>
      <w:r>
        <w:rPr>
          <w:i/>
        </w:rPr>
        <w:t xml:space="preserve">9010 Taiga </w:t>
      </w:r>
      <w:r>
        <w:t>och</w:t>
      </w:r>
      <w:r>
        <w:rPr>
          <w:i/>
        </w:rPr>
        <w:t xml:space="preserve"> 9740 Skogsbevuxen myr </w:t>
      </w:r>
      <w:r>
        <w:t>(SLU Artdatabanken, 2025;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(NT) är rödlistad som nära hotad, fridlyst enligt §4 Artskyddsförordningen, typisk art för </w:t>
      </w:r>
      <w:r>
        <w:rPr>
          <w:i/>
        </w:rPr>
        <w:t xml:space="preserve">9010 Taiga </w:t>
      </w:r>
      <w:r>
        <w:t>och</w:t>
      </w:r>
      <w:r>
        <w:rPr>
          <w:i/>
        </w:rPr>
        <w:t xml:space="preserve"> 9740 Skogsbevuxen myr</w:t>
      </w:r>
      <w:r>
        <w:t xml:space="preserve"> och ingår i bilaga 1 i EU:s fågeldirektiv. Spillkråka lever i både barr- och blandskog liksom i ren lövskog. De tätaste populationerna tenderar att finnas i äldre, variationsrik blandskog med gott om död ved och gamla träd. Spillkråka är en nyckelart i skogliga miljöer vars övergivna bohål utnyttjas av flera andra hålhäckande fågelarter och fladdermöss (SLU Artdatabanken, 2023; Skogsstyrelsen 2016).</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2023.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