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33964-2023 i Sollefteå kommun</w:t>
      </w:r>
    </w:p>
    <w:p>
      <w:r>
        <w:t>Detta klagomål behandlar höga naturvärden i avverkningsanmälan A 33964-2023 i Sollefteå kommun som inkom 2023-07-17 och omfattar 4,9 ha.</w:t>
      </w:r>
    </w:p>
    <w:p>
      <w:pPr>
        <w:pStyle w:val="Caption"/>
      </w:pPr>
      <w:r>
        <w:drawing>
          <wp:inline xmlns:a="http://schemas.openxmlformats.org/drawingml/2006/main" xmlns:pic="http://schemas.openxmlformats.org/drawingml/2006/picture">
            <wp:extent cx="5142587" cy="5724000"/>
            <wp:docPr id="1" name="Picture 1"/>
            <wp:cNvGraphicFramePr>
              <a:graphicFrameLocks noChangeAspect="1"/>
            </wp:cNvGraphicFramePr>
            <a:graphic>
              <a:graphicData uri="http://schemas.openxmlformats.org/drawingml/2006/picture">
                <pic:pic>
                  <pic:nvPicPr>
                    <pic:cNvPr id="0" name="A 33964-2023 karta.png"/>
                    <pic:cNvPicPr/>
                  </pic:nvPicPr>
                  <pic:blipFill>
                    <a:blip r:embed="rId16"/>
                    <a:stretch>
                      <a:fillRect/>
                    </a:stretch>
                  </pic:blipFill>
                  <pic:spPr>
                    <a:xfrm>
                      <a:off x="0" y="0"/>
                      <a:ext cx="514258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7079805, E 582959 i SWEREF 99 TM.</w:t>
      </w:r>
    </w:p>
    <w:p>
      <w:r>
        <w:t>I och inom 23 meter från avverkningsanmälan finns fynd av 14 naturvårdsarter, varav 11 är rödlistade, 2 är fridlysta, 11 är typiska (T) och 2 är signalarter (S): garnlav (VU, T), dropptaggsvamp (NT, T), dvärgbägarlav (NT, T), gammelgransskål (NT, T), kolflarnlav (NT, T), lunglav (NT, T), mörk kolflarnlav (NT), nordtagging (NT), tretåig hackspett (NT, T, §4), ullticka (NT, T), vitgrynig nållav (NT), norrlandslav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