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11399" cy="5724000"/>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11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34 naturvårdsarter, varav 19 är rödlistade, 10 är fridlysta, 28 är typiska (T) och 11 är signalarter (S): blackticka (VU), doftticka (VU, T, §8), garnlav (VU, T), knärot (VU, T, §8), ulltickeporing (VU), gammelgransskål (NT, T), kolflarnlav (NT, T), lunglav (NT, T), rosenticka (NT, T), rynkskinn (NT, T), skogshare (NT), skrovellav (NT, T), talltagel (NT, T), tallticka (NT, T), talltita (NT, §4), tretåig hackspett (NT, T, §4), ullticka (NT, T), vedflikmossa (NT), vedtrappmossa (NT, T), bollvitmossa (S, T), lappranunkel (S, T, §7), luddlav (S, T), norrlandslav (S, T), nästlav (S, T), plattlummer (S, T, §9), spindelblomster (S, T, §8), stuplav (S, T), trådticka (S, T), vedticka (S, T), ögonpyrola (S, T), järpe (T, §4), linnea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12.53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