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40639-2022 i Sollefteå kommun</w:t>
      </w:r>
    </w:p>
    <w:p>
      <w:r>
        <w:t>Detta dokument behandlar höga naturvärden i avverkningsanmälan A 40639-2022 i Sollefteå kommun. Denna avverkningsanmälan inkom 2022-09-20 och omfattar 17,9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kritporing (CR), gräddporing (VU), knärot (VU, §8), ulltickeporing (VU), brunpudrad nållav (NT), dvärgbägarlav (NT), garnlav (NT), granticka (NT), gränsticka (NT), koralltaggsvamp (NT), kortskaftad ärgspik (NT), lunglav (NT), nordtagging (NT), oljetagging (NT), spillkråka (NT, §4), stjärntagging (NT), talltita (NT, §4), tretåig hackspett (NT, §4), ullticka (NT), vedtrappmossa (NT), bårdlav (S), gullgröppa (S), gulnål (S), norrlandslav (S), plattlummer (S, §9), skinnlav (S), stuplav (S), vedticka (S), lavskrika (§4), fläcknycklar (§8)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2455"/>
            <wp:docPr id="1" name="Picture 1"/>
            <wp:cNvGraphicFramePr>
              <a:graphicFrameLocks noChangeAspect="1"/>
            </wp:cNvGraphicFramePr>
            <a:graphic>
              <a:graphicData uri="http://schemas.openxmlformats.org/drawingml/2006/picture">
                <pic:pic>
                  <pic:nvPicPr>
                    <pic:cNvPr id="0" name="A 40639-2022 karta.png"/>
                    <pic:cNvPicPr/>
                  </pic:nvPicPr>
                  <pic:blipFill>
                    <a:blip r:embed="rId16"/>
                    <a:stretch>
                      <a:fillRect/>
                    </a:stretch>
                  </pic:blipFill>
                  <pic:spPr>
                    <a:xfrm>
                      <a:off x="0" y="0"/>
                      <a:ext cx="5486400" cy="3602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7036346, E 611840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w:t>
      </w:r>
      <w:r>
        <w:rPr>
          <w:i/>
        </w:rPr>
        <w:t>Skyddsvärd skog</w:t>
      </w:r>
      <w:r>
        <w:t xml:space="preserve"> som behandlar naturvårdsarter och andra kriterier för naturvärdesbedömning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tretåig hackspett (NT, §4), plattlummer (S, §9), lavskrika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31 fyndplatser för knärot registrerade på Artportalen. Figur 2 visar gränserna för buffertzoner på 50 m, som behöver lämnas kring fyndplatserna för att knärotslokalerna inte ska försvinna vid en avverkning. Av det avverkningsanmälda området överlappar 8.89 ha med buffertzonerna och får av detta skäl inte avverkas.</w:t>
      </w:r>
    </w:p>
    <w:p>
      <w:pPr>
        <w:pStyle w:val="Caption"/>
      </w:pPr>
      <w:r>
        <w:drawing>
          <wp:inline xmlns:a="http://schemas.openxmlformats.org/drawingml/2006/main" xmlns:pic="http://schemas.openxmlformats.org/drawingml/2006/picture">
            <wp:extent cx="5486400" cy="4213524"/>
            <wp:docPr id="2" name="Picture 2"/>
            <wp:cNvGraphicFramePr>
              <a:graphicFrameLocks noChangeAspect="1"/>
            </wp:cNvGraphicFramePr>
            <a:graphic>
              <a:graphicData uri="http://schemas.openxmlformats.org/drawingml/2006/picture">
                <pic:pic>
                  <pic:nvPicPr>
                    <pic:cNvPr id="0" name="A 40639-2022 karta knärot.png"/>
                    <pic:cNvPicPr/>
                  </pic:nvPicPr>
                  <pic:blipFill>
                    <a:blip r:embed="rId17"/>
                    <a:stretch>
                      <a:fillRect/>
                    </a:stretch>
                  </pic:blipFill>
                  <pic:spPr>
                    <a:xfrm>
                      <a:off x="0" y="0"/>
                      <a:ext cx="5486400" cy="4213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7036346, E 611840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Kritporing – ekologi samt krav på livsmiljön</w:t>
      </w:r>
    </w:p>
    <w:p>
      <w:r>
        <w:t xml:space="preserve">Den akut hotade vedsvampen kritporing </w:t>
      </w:r>
      <w:r>
        <w:rPr>
          <w:i/>
        </w:rPr>
        <w:t>Resinoporia crassa</w:t>
      </w:r>
      <w:r>
        <w:t xml:space="preserve"> (CR)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