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18696-2025 i Sollefteå kommun</w:t>
      </w:r>
    </w:p>
    <w:p>
      <w:r>
        <w:t>Detta klagomål behandlar höga naturvärden i avverkningsanmälan A 18696-2025 i Sollefteå kommun som inkom 2025-04-16 och omfattar 11,4 ha.</w:t>
      </w:r>
    </w:p>
    <w:p>
      <w:pPr>
        <w:pStyle w:val="Caption"/>
      </w:pPr>
      <w:r>
        <w:drawing>
          <wp:inline xmlns:a="http://schemas.openxmlformats.org/drawingml/2006/main" xmlns:pic="http://schemas.openxmlformats.org/drawingml/2006/picture">
            <wp:extent cx="5109460" cy="5724000"/>
            <wp:docPr id="1" name="Picture 1"/>
            <wp:cNvGraphicFramePr>
              <a:graphicFrameLocks noChangeAspect="1"/>
            </wp:cNvGraphicFramePr>
            <a:graphic>
              <a:graphicData uri="http://schemas.openxmlformats.org/drawingml/2006/picture">
                <pic:pic>
                  <pic:nvPicPr>
                    <pic:cNvPr id="0" name="A 18696-2025 karta.png"/>
                    <pic:cNvPicPr/>
                  </pic:nvPicPr>
                  <pic:blipFill>
                    <a:blip r:embed="rId16"/>
                    <a:stretch>
                      <a:fillRect/>
                    </a:stretch>
                  </pic:blipFill>
                  <pic:spPr>
                    <a:xfrm>
                      <a:off x="0" y="0"/>
                      <a:ext cx="5109460"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7014562, E 636615 i SWEREF 99 TM.</w:t>
      </w:r>
    </w:p>
    <w:p>
      <w:r>
        <w:t>I och inom 20 meter från avverkningsanmälan finns fynd av 19 naturvårdsarter, varav 14 är rödlistade, 6 är fridlysta, 15 är typiska (T) och 2 är signalarter (S): garnlav (VU, T), knärot (VU, T, §8), doftskinn (NT, T), kolflarnlav (NT, T), koralltaggsvamp (NT, T), kötticka (NT), mörk kolflarnlav (NT), rosenticka (NT, T), rynkskinn (NT, T), stjärntagging (NT, T), talltagel (NT, T), talltita (NT, §4), tretåig hackspett (NT, T, §4), ullticka (NT, T), skinnlav (S, T), vedticka (S, T), tjäder (T, §4), tofsmes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31 fyndplatser för knärot registrerade på Artportalen. Figur 2 visar gränserna för buffertzoner på 50 m, som behöver lämnas kring fyndplatserna för att knärotslokalerna inte ska försvinna vid en avverkning. Av det avverkningsanmälda området överlappar 7.69 ha med buffertzonerna och får av detta skäl inte avverkas.</w:t>
      </w:r>
    </w:p>
    <w:p>
      <w:pPr>
        <w:pStyle w:val="Caption"/>
      </w:pPr>
      <w:r>
        <w:drawing>
          <wp:inline xmlns:a="http://schemas.openxmlformats.org/drawingml/2006/main" xmlns:pic="http://schemas.openxmlformats.org/drawingml/2006/picture">
            <wp:extent cx="5486400" cy="5899294"/>
            <wp:docPr id="2" name="Picture 2"/>
            <wp:cNvGraphicFramePr>
              <a:graphicFrameLocks noChangeAspect="1"/>
            </wp:cNvGraphicFramePr>
            <a:graphic>
              <a:graphicData uri="http://schemas.openxmlformats.org/drawingml/2006/picture">
                <pic:pic>
                  <pic:nvPicPr>
                    <pic:cNvPr id="0" name="A 18696-2025 karta knärot.png"/>
                    <pic:cNvPicPr/>
                  </pic:nvPicPr>
                  <pic:blipFill>
                    <a:blip r:embed="rId17"/>
                    <a:stretch>
                      <a:fillRect/>
                    </a:stretch>
                  </pic:blipFill>
                  <pic:spPr>
                    <a:xfrm>
                      <a:off x="0" y="0"/>
                      <a:ext cx="5486400" cy="589929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7014562, E 636615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