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41666-2024 i Sollefteå kommun</w:t>
      </w:r>
    </w:p>
    <w:p>
      <w:r>
        <w:t>Detta dokument behandlar höga naturvärden i avverkningsanmälan A 41666-2024 i Sollefteå kommun. Denna avverkningsanmälan inkom 2024-09-25 15:36:09 och omfattar 1,0 ha.</w:t>
      </w:r>
    </w:p>
    <w:p>
      <w:r>
        <w:t>Nedan presenteras fynd av naturvårdsarter och fridlysta arter som gjorts i det avverkningsanmälda området, samt relevanta utdrag ur standarderna för FSC, Chain of Custody, Controlled Wood och PEFC. I BILAGA 1 finns artfakta om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7 naturvårdsarter hittats: rynkskinn (VU), granticka (NT), lunglav (NT), rosenticka (NT), vedtrappmossa (NT), stor aspticka (S) och revlummer (§9). Av dessa är 5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76955"/>
            <wp:docPr id="1" name="Picture 1"/>
            <wp:cNvGraphicFramePr>
              <a:graphicFrameLocks noChangeAspect="1"/>
            </wp:cNvGraphicFramePr>
            <a:graphic>
              <a:graphicData uri="http://schemas.openxmlformats.org/drawingml/2006/picture">
                <pic:pic>
                  <pic:nvPicPr>
                    <pic:cNvPr id="0" name="A 41666-2024 karta.png"/>
                    <pic:cNvPicPr/>
                  </pic:nvPicPr>
                  <pic:blipFill>
                    <a:blip r:embed="rId16"/>
                    <a:stretch>
                      <a:fillRect/>
                    </a:stretch>
                  </pic:blipFill>
                  <pic:spPr>
                    <a:xfrm>
                      <a:off x="0" y="0"/>
                      <a:ext cx="5486400" cy="467695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7034761, E 595462 i SWEREF 99 TM.</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r>
        <w:rPr>
          <w:b/>
        </w:rPr>
        <w:t>Rynkskinn (VU)</w:t>
      </w:r>
      <w:r>
        <w:t>,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(Nitare &amp; Skogsstyrelsen, 2019; SLU Artdatabanken, 2024).</w:t>
      </w:r>
    </w:p>
    <w:p>
      <w:r>
        <w:rPr>
          <w:b/>
        </w:rPr>
        <w:t>Stor aspticka</w:t>
      </w:r>
      <w:r>
        <w:t xml:space="preserve"> är knuten till gamla levande aspar och orsakar karaktäristiska inbuktningar i stammen (så kallad nekroser). Slutavverknings- och gallringsåtgärder i löv- och blandskogsbestånd som innebär att tillgången på grov asp minskar är ett hot mot arten. Det är viktigt att äldre aspar och aspbestånd sparas och för att gynna arten på sikt bör aspinslagen i t.ex. bergbranter, raviner, skogsbryn och kring äldre odlingsmarker generellt sparas i större utsträckning än vad som görs idag (SLU Artdatabanken, 2024; Nitare &amp; Skogsstyrelsen, 2019).</w:t>
      </w:r>
    </w:p>
    <w:p>
      <w:r>
        <w:rPr>
          <w:b/>
        </w:rPr>
        <w:t xml:space="preserve">Vedtrappmossa (NT) </w:t>
      </w:r>
      <w:r>
        <w:t>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(SLU Artdatabanken, 2024).</w:t>
      </w:r>
    </w:p>
    <w:p>
      <w:pPr>
        <w:pStyle w:val="Heading1"/>
      </w:pPr>
      <w:r>
        <w:t>Fridlysta arter</w:t>
      </w:r>
    </w:p>
    <w:p>
      <w:r>
        <w:t>Följande fridlysta arter har sina livsmiljöer och växtplatser i den avverkningsanmälda skogen: revlummer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7 naturvårdsarter varav 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2025-10-01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