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och inom 18 meter från avverkningsanmälan finns fynd av 16 naturvårdsarter, varav 11 är rödlistade, 6 är fridlysta, 13 är typiska (T) och 2 är signalarter (S): garnlav (VU, T), knärot (VU, T, §8), dvärgbägarlav (NT, T), kolflarnlav (NT, T), koralltaggsvamp (NT, T), mörk kolflarnlav (NT), talltagel (NT, T), tallticka (NT, T), talltita (NT, §4), tretåig hackspett (NT, T, §4), vedskivlav (NT, T), nästlav (S, T), skinnlav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koralltaggsvamp (NT, T), talltagel (NT, T), tallticka (NT, T), tretåig hackspett (NT, T, §4), vedskivlav (NT, T), nästlav (S, T), skinnlav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