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29309-2022 i Sollefteå kommun</w:t>
      </w:r>
    </w:p>
    <w:p>
      <w:r>
        <w:t>Detta dokument behandlar höga naturvärden i avverkningsanmälan A 29309-2022 i Sollefteå kommun. Denna avverkningsanmälan inkom 2022-07-08 00:00:00 och omfattar 7,3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rynkskinn (VU), blå taggsvamp (NT), dvärgbägarlav (NT), garnlav (NT), koralltaggsvamp (NT), kortskaftad ärgspik (NT), lunglav (NT), motaggsvamp (NT), mörk kolflarnlav (NT), nordtagging (NT), tretåig hackspett (NT, §4), vedskivlav (NT) och vitplätt (NT). Av dessa är 13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39681"/>
            <wp:docPr id="1" name="Picture 1"/>
            <wp:cNvGraphicFramePr>
              <a:graphicFrameLocks noChangeAspect="1"/>
            </wp:cNvGraphicFramePr>
            <a:graphic>
              <a:graphicData uri="http://schemas.openxmlformats.org/drawingml/2006/picture">
                <pic:pic>
                  <pic:nvPicPr>
                    <pic:cNvPr id="0" name="A 29309-2022 karta.png"/>
                    <pic:cNvPicPr/>
                  </pic:nvPicPr>
                  <pic:blipFill>
                    <a:blip r:embed="rId16"/>
                    <a:stretch>
                      <a:fillRect/>
                    </a:stretch>
                  </pic:blipFill>
                  <pic:spPr>
                    <a:xfrm>
                      <a:off x="0" y="0"/>
                      <a:ext cx="5486400" cy="56396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7034233, E 599367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Koralltaggsvamp (NT)</w:t>
      </w:r>
      <w:r>
        <w:t xml:space="preserve"> är i hela landet en mycket bra signalart som nästan enbart påträffas i skogsområden med höga naturvärden. Arten hotas av brist på död ved. Ingrepp som innebär att lågor och döda eller skadade träd tas bort missgynnar arten. En slutavverkning, skoglig gallring eller annat uttag av virke på växtplatsen som ger ett förändrat lokalklimat innebär ett direkt hot liksom överföring av lövskog till barrskog (SLU Artdatabanken, 2024; Nitare &amp; Skogsstyrelsen, 2019).</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0.13 ha med buffertzonerna och får av detta skäl inte avverkas.</w:t>
      </w:r>
    </w:p>
    <w:p>
      <w:pPr>
        <w:pStyle w:val="Caption"/>
      </w:pPr>
      <w:r>
        <w:drawing>
          <wp:inline xmlns:a="http://schemas.openxmlformats.org/drawingml/2006/main" xmlns:pic="http://schemas.openxmlformats.org/drawingml/2006/picture">
            <wp:extent cx="5486400" cy="7293175"/>
            <wp:docPr id="2" name="Picture 2"/>
            <wp:cNvGraphicFramePr>
              <a:graphicFrameLocks noChangeAspect="1"/>
            </wp:cNvGraphicFramePr>
            <a:graphic>
              <a:graphicData uri="http://schemas.openxmlformats.org/drawingml/2006/picture">
                <pic:pic>
                  <pic:nvPicPr>
                    <pic:cNvPr id="0" name="A 29309-2022 karta knärot.png"/>
                    <pic:cNvPicPr/>
                  </pic:nvPicPr>
                  <pic:blipFill>
                    <a:blip r:embed="rId17"/>
                    <a:stretch>
                      <a:fillRect/>
                    </a:stretch>
                  </pic:blipFill>
                  <pic:spPr>
                    <a:xfrm>
                      <a:off x="0" y="0"/>
                      <a:ext cx="5486400" cy="729317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7034233, E 599367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13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