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33128-2024 i Sollefteå kommun</w:t>
      </w:r>
    </w:p>
    <w:p>
      <w:r>
        <w:t>Detta dokument behandlar höga naturvärden i avverkningsanmälan A 33128-2024 i Sollefteå kommun. Denna avverkningsanmälan inkom 2024-08-13 och omfattar 3,8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13 naturvårdsarter hittats: garnlav (NT), granticka (NT), gränsticka (NT), järpe (NT, §4), lunglav (NT), skrovellav (NT), spillkråka (NT, §4), tretåig hackspett (NT, §4), ullticka (NT), luddlav (S), spindelblomster (S, §8), stuplav (S) och vedticka (S).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47077"/>
            <wp:docPr id="1" name="Picture 1"/>
            <wp:cNvGraphicFramePr>
              <a:graphicFrameLocks noChangeAspect="1"/>
            </wp:cNvGraphicFramePr>
            <a:graphic>
              <a:graphicData uri="http://schemas.openxmlformats.org/drawingml/2006/picture">
                <pic:pic>
                  <pic:nvPicPr>
                    <pic:cNvPr id="0" name="A 33128-2024 karta.png"/>
                    <pic:cNvPicPr/>
                  </pic:nvPicPr>
                  <pic:blipFill>
                    <a:blip r:embed="rId16"/>
                    <a:stretch>
                      <a:fillRect/>
                    </a:stretch>
                  </pic:blipFill>
                  <pic:spPr>
                    <a:xfrm>
                      <a:off x="0" y="0"/>
                      <a:ext cx="5486400" cy="52470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7058774, E 556406 i SWEREF 99 TM.</w:t>
      </w:r>
    </w:p>
    <w:p>
      <w:pPr>
        <w:pStyle w:val="Heading1"/>
      </w:pPr>
      <w:r>
        <w:t>Fridlysta arter</w:t>
      </w:r>
    </w:p>
    <w:p>
      <w:r>
        <w:t>Följande fridlysta arter har sina livsmiljöer och växtplatser i den avverkningsanmälda skogen: järpe (NT, §4), spillkråka (NT, §4), tretåig hackspett (NT, §4) och spindelblomster (S,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xml:space="preserve">, rödlistad som nära hotad och prioriterad art i Skogsvårdslagen har häckningsrevir i avverkningsanmälan. Arten har minskat med 25 (10 - 40)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0.17 ha med buffertzonerna och får av detta skäl inte avverkas.</w:t>
      </w:r>
    </w:p>
    <w:p>
      <w:pPr>
        <w:pStyle w:val="Caption"/>
      </w:pPr>
      <w:r>
        <w:drawing>
          <wp:inline xmlns:a="http://schemas.openxmlformats.org/drawingml/2006/main" xmlns:pic="http://schemas.openxmlformats.org/drawingml/2006/picture">
            <wp:extent cx="5486400" cy="6652260"/>
            <wp:docPr id="2" name="Picture 2"/>
            <wp:cNvGraphicFramePr>
              <a:graphicFrameLocks noChangeAspect="1"/>
            </wp:cNvGraphicFramePr>
            <a:graphic>
              <a:graphicData uri="http://schemas.openxmlformats.org/drawingml/2006/picture">
                <pic:pic>
                  <pic:nvPicPr>
                    <pic:cNvPr id="0" name="A 33128-2024 karta knärot.png"/>
                    <pic:cNvPicPr/>
                  </pic:nvPicPr>
                  <pic:blipFill>
                    <a:blip r:embed="rId17"/>
                    <a:stretch>
                      <a:fillRect/>
                    </a:stretch>
                  </pic:blipFill>
                  <pic:spPr>
                    <a:xfrm>
                      <a:off x="0" y="0"/>
                      <a:ext cx="5486400" cy="6652260"/>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7058774, E 556406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(10 - 40) % under de senaste 12 åren, har sina livsmiljöer i tät barrskog med inblandning av lövträd och en väl utvecklad flerskiktad struktur med bärris och yngre eller undertryckta, täta granar i ett lägre skikt, ofta utmed bäckar och åar inne i den skyddande granskogen. 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