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2 naturvårdsarter, varav 1 är rödlistad och 2 är fridlysta: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