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62992-2023 i Sollefteå kommun</w:t>
      </w:r>
    </w:p>
    <w:p>
      <w:r>
        <w:t>Detta dokument behandlar höga naturvärden i avverkningsanmälan A 62992-2023 i Sollefteå kommun. Denna avverkningsanmälan inkom 2023-12-12 00:00:00 och omfattar 16,7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gammelgransskål (NT), garnlav (NT), harticka (NT), rosenticka (NT), tretåig hackspett (NT, §4), mörk husmossa (S) och spindelblomster (S, §8).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96408"/>
            <wp:docPr id="1" name="Picture 1"/>
            <wp:cNvGraphicFramePr>
              <a:graphicFrameLocks noChangeAspect="1"/>
            </wp:cNvGraphicFramePr>
            <a:graphic>
              <a:graphicData uri="http://schemas.openxmlformats.org/drawingml/2006/picture">
                <pic:pic>
                  <pic:nvPicPr>
                    <pic:cNvPr id="0" name="A 62992-2023 karta.png"/>
                    <pic:cNvPicPr/>
                  </pic:nvPicPr>
                  <pic:blipFill>
                    <a:blip r:embed="rId16"/>
                    <a:stretch>
                      <a:fillRect/>
                    </a:stretch>
                  </pic:blipFill>
                  <pic:spPr>
                    <a:xfrm>
                      <a:off x="0" y="0"/>
                      <a:ext cx="5486400" cy="419640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7036696, E 552899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(SLU Artdatabanken, 2024; Nitare &amp; Skogsstyrelsen, 2019).</w:t>
      </w:r>
    </w:p>
    <w:p>
      <w:r>
        <w:rPr>
          <w:b/>
        </w:rPr>
        <w:t xml:space="preserve">Mörk husmossa </w:t>
      </w:r>
      <w:r>
        <w:t>är en mycket bra signalart i södra och mellersta Sverige. Den är sannolikt svårspridd och växer huvudsakligen i skog med lång skoglig kontinuitet i områden med konstant hög luftfuktighet. Den är känslig för större avverkningar, men tål plockhuggning som lämnar ett tätare trädskikt och ett obrutet, fukthållande mosstäcke på marken. Ett par studier har klart visat att artens tillväxt försämras när skogen huggs ner intill växtplatsen, och att ett kalhygges påverkan på mörk husmossa avtar både med avståndet från kalhygget och ju fuktigare växtplatsen är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pPr>
        <w:pStyle w:val="Heading1"/>
      </w:pPr>
      <w:r>
        <w:t>Fridlysta arter</w:t>
      </w:r>
    </w:p>
    <w:p>
      <w:r>
        <w:t>Följande fridlysta arter har sina livsmiljöer och växtplatser i den avverkningsanmälda skogen: tretåig hackspett (NT, §4) och spindelblomster (S,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2025-10-02</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