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26467-2024 i Sollefteå kommun</w:t>
      </w:r>
    </w:p>
    <w:p>
      <w:r>
        <w:t>Detta dokument behandlar höga naturvärden i avverkningsanmälan A 26467-2024 i Sollefteå kommun. Denna avverkningsanmälan inkom 2024-06-26 00:00:00 och omfattar 1,1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rosenticka (NT), springkorn (S), skogsrör (§7) och revlummer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50252"/>
            <wp:docPr id="1" name="Picture 1"/>
            <wp:cNvGraphicFramePr>
              <a:graphicFrameLocks noChangeAspect="1"/>
            </wp:cNvGraphicFramePr>
            <a:graphic>
              <a:graphicData uri="http://schemas.openxmlformats.org/drawingml/2006/picture">
                <pic:pic>
                  <pic:nvPicPr>
                    <pic:cNvPr id="0" name="A 26467-2024 karta.png"/>
                    <pic:cNvPicPr/>
                  </pic:nvPicPr>
                  <pic:blipFill>
                    <a:blip r:embed="rId16"/>
                    <a:stretch>
                      <a:fillRect/>
                    </a:stretch>
                  </pic:blipFill>
                  <pic:spPr>
                    <a:xfrm>
                      <a:off x="0" y="0"/>
                      <a:ext cx="5486400" cy="43502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7032989, E 598114 i SWEREF 99 TM.</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 xml:space="preserve">Springkorn </w:t>
      </w:r>
      <w:r>
        <w:t>är en kärlväxt som blir upp till en meter hög och kan bilda stora bestånd,</w:t>
      </w:r>
      <w:r>
        <w:rPr>
          <w:b/>
        </w:rPr>
        <w:t xml:space="preserve"> </w:t>
      </w:r>
      <w:r>
        <w:t>ofta i skuggiga, fuktiga och mullrika skogsmiljöer. Den är uttorkningskänslig och hotas främst av dräneringsåtgärder och kalavverkning samt eventuellt även av den införda växten blekbalsamin. Arten är på många håll skyddad i naturreservat med lundartad vegetation i raviner men de främsta förekomsterna på moränlera vid sjöstränder har ett sämre skydd. Springkorn är värdväxt för de sällsynta och rödlistade fjärilsarterna gulryggig fältmätare (VU), nätådrig parkmätare (VU), springkornsrotvecklare (VU) och springkornsfältmätare (NT) (SLU Artdatabanken, 2024).</w:t>
      </w:r>
    </w:p>
    <w:p>
      <w:pPr>
        <w:pStyle w:val="Heading1"/>
      </w:pPr>
      <w:r>
        <w:t>Fridlysta arter</w:t>
      </w:r>
    </w:p>
    <w:p>
      <w:r>
        <w:t>Följande fridlysta arter har sina livsmiljöer och växtplatser i den avverkningsanmälda skogen: skogsrör (§7) och revlummer (§9).</w:t>
      </w:r>
    </w:p>
    <w:p>
      <w:r>
        <w:rPr>
          <w:b/>
        </w:rPr>
        <w:t>Skogsrör (§7)</w:t>
      </w:r>
      <w:r>
        <w:t xml:space="preserve"> är strikt skyddad enligt EU:s art- och habitatdirektiv och fridlyst enligt §7 Artskyddsförordningen (bilaga 1) vilket innebär att hela dess livsmiljö ska bevaras. Arten är en svensk-norsk endem som förekommer sparsamt till sällsynt i mellersta Norrland, i såväl lågland som fjällnära delar. Den är något kalkgynnad och växer i fuktiga-friska, gärna sluttande och rika skogar, både gran-, bland och björkskogar, i myrkanter samt längs vattendrag och raviner. Skogsrör är känslig för dränering och på dikade lokaler bör hydrologin återställas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