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51693-2024 i Sollefteå kommun</w:t>
      </w:r>
    </w:p>
    <w:p>
      <w:r>
        <w:t>Detta klagomål behandlar höga naturvärden i avverkningsanmälan A 51693-2024 i Sollefteå kommun som inkom 2024-11-11 och omfattar 5,2 ha.</w:t>
      </w:r>
    </w:p>
    <w:p>
      <w:pPr>
        <w:pStyle w:val="Caption"/>
      </w:pPr>
      <w:r>
        <w:drawing>
          <wp:inline xmlns:a="http://schemas.openxmlformats.org/drawingml/2006/main" xmlns:pic="http://schemas.openxmlformats.org/drawingml/2006/picture">
            <wp:extent cx="5486400" cy="4653286"/>
            <wp:docPr id="1" name="Picture 1"/>
            <wp:cNvGraphicFramePr>
              <a:graphicFrameLocks noChangeAspect="1"/>
            </wp:cNvGraphicFramePr>
            <a:graphic>
              <a:graphicData uri="http://schemas.openxmlformats.org/drawingml/2006/picture">
                <pic:pic>
                  <pic:nvPicPr>
                    <pic:cNvPr id="0" name="A 51693-2024 karta.png"/>
                    <pic:cNvPicPr/>
                  </pic:nvPicPr>
                  <pic:blipFill>
                    <a:blip r:embed="rId16"/>
                    <a:stretch>
                      <a:fillRect/>
                    </a:stretch>
                  </pic:blipFill>
                  <pic:spPr>
                    <a:xfrm>
                      <a:off x="0" y="0"/>
                      <a:ext cx="5486400" cy="4653286"/>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7042545, E 562150 i SWEREF 99 TM.</w:t>
      </w:r>
    </w:p>
    <w:p>
      <w:r>
        <w:t>I och inom 25 meter från avverkningsanmälan finns fynd av 9 naturvårdsarter, varav 8 är rödlistade, 3 är fridlysta och 9 är typiska (T): garnlav (VU, T), knärot (VU, T, §8), dropptaggsvamp (NT, T), kolflarnlav (NT, T), lunglav (NT, T), skuggblåslav (NT, T), tretåig hackspett (NT, T, §4), ullticka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2.52 ha med buffertzonerna och får av detta skäl inte avverkas.</w:t>
      </w:r>
    </w:p>
    <w:p>
      <w:pPr>
        <w:pStyle w:val="Caption"/>
      </w:pPr>
      <w:r>
        <w:drawing>
          <wp:inline xmlns:a="http://schemas.openxmlformats.org/drawingml/2006/main" xmlns:pic="http://schemas.openxmlformats.org/drawingml/2006/picture">
            <wp:extent cx="5486400" cy="5972848"/>
            <wp:docPr id="2" name="Picture 2"/>
            <wp:cNvGraphicFramePr>
              <a:graphicFrameLocks noChangeAspect="1"/>
            </wp:cNvGraphicFramePr>
            <a:graphic>
              <a:graphicData uri="http://schemas.openxmlformats.org/drawingml/2006/picture">
                <pic:pic>
                  <pic:nvPicPr>
                    <pic:cNvPr id="0" name="A 51693-2024 karta knärot.png"/>
                    <pic:cNvPicPr/>
                  </pic:nvPicPr>
                  <pic:blipFill>
                    <a:blip r:embed="rId17"/>
                    <a:stretch>
                      <a:fillRect/>
                    </a:stretch>
                  </pic:blipFill>
                  <pic:spPr>
                    <a:xfrm>
                      <a:off x="0" y="0"/>
                      <a:ext cx="5486400" cy="597284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7042545, E 562150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Skuggblåslav (NT)</w:t>
      </w:r>
      <w:r>
        <w:t xml:space="preserve"> växer på silikatsten eller gamla träd i äldre naturskogar med hög luftfuktighet. Den påverkas negativt av brist på kontinuitetsskog och minskningstakten för arten bedöms vara nära gränsvärdet för sårbar (VU). Skuggblåslav är typisk art för </w:t>
      </w:r>
      <w:r>
        <w:rPr>
          <w:i/>
        </w:rPr>
        <w:t xml:space="preserve">9010 Taiga </w:t>
      </w:r>
      <w:r>
        <w:t>(Nitare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