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1959-2025 i Sollefteå kommun</w:t>
      </w:r>
    </w:p>
    <w:p>
      <w:r>
        <w:t>Detta klagomål behandlar höga naturvärden i samrådsanmälan S 1959-2025 i Sollefteå kommun som inkom 2025-06-23 och omfattar 2,0 ha.</w:t>
      </w:r>
    </w:p>
    <w:p>
      <w:pPr>
        <w:pStyle w:val="Caption"/>
      </w:pPr>
      <w:r>
        <w:drawing>
          <wp:inline xmlns:a="http://schemas.openxmlformats.org/drawingml/2006/main" xmlns:pic="http://schemas.openxmlformats.org/drawingml/2006/picture">
            <wp:extent cx="5486400" cy="5073220"/>
            <wp:docPr id="1" name="Picture 1"/>
            <wp:cNvGraphicFramePr>
              <a:graphicFrameLocks noChangeAspect="1"/>
            </wp:cNvGraphicFramePr>
            <a:graphic>
              <a:graphicData uri="http://schemas.openxmlformats.org/drawingml/2006/picture">
                <pic:pic>
                  <pic:nvPicPr>
                    <pic:cNvPr id="0" name="S 1959-2025 karta.png"/>
                    <pic:cNvPicPr/>
                  </pic:nvPicPr>
                  <pic:blipFill>
                    <a:blip r:embed="rId16"/>
                    <a:stretch>
                      <a:fillRect/>
                    </a:stretch>
                  </pic:blipFill>
                  <pic:spPr>
                    <a:xfrm>
                      <a:off x="0" y="0"/>
                      <a:ext cx="5486400" cy="5073220"/>
                    </a:xfrm>
                    <a:prstGeom prst="rect"/>
                  </pic:spPr>
                </pic:pic>
              </a:graphicData>
            </a:graphic>
          </wp:inline>
        </w:drawing>
      </w:r>
    </w:p>
    <w:p>
      <w:pPr>
        <w:pStyle w:val="Caption"/>
        <w:spacing w:after="240"/>
      </w:pPr>
      <w:r>
        <w:t>Figur 1. Fyndplatser för naturvårdsarter i och inom 20 meter från samrådsanmälan. Markörer utan svart kant är placerade på fyndplatsen. Markörer med svart kant är placerade vid sidan av fyndplatsen har ett svart streck som visar fyndplatsens exakta position. Kartans mittpunktskoordinat är N 6980138, E 605705 i SWEREF 99 TM.</w:t>
      </w:r>
    </w:p>
    <w:p>
      <w:r>
        <w:t>I och inom 20 meter från samrådsanmälan finns fynd av 6 naturvårdsarter, varav 6 är rödlistade, 2 är fridlysta och 5 är typiska (T): aspgelélav (VU, T), knärot (VU, T, §8), lunglav (NT, T), varglav (NT, §8), veckticka (NT, T) och vedskivlav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Aspgelélav (VU)</w:t>
      </w:r>
      <w:r>
        <w:t xml:space="preserve"> växer praktiskt taget enbart på asp i skog med hög luftfuktighet. Aspgelélav missgynnas vid slutavverkning. I norra Sverige hotas arten genom slutavverkning av äldre barrskog med åldriga aspar, ofta på skogsbergens sluttningar. Arten försvinner på aspar som lämnas kvar på hyggen. Aspgelélav (VU) är typisk art för </w:t>
      </w:r>
      <w:r>
        <w:rPr>
          <w:i/>
        </w:rPr>
        <w:t>9010 Taiga</w:t>
      </w:r>
      <w:r>
        <w:t xml:space="preserve"> (SLU Artdatabanken, 2024).</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1 fyndplatser för knärot registrerade på Artportalen. Figur 2 visar gränserna för buffertzoner på 50 m, som behöver lämnas kring fyndplatserna för att knärotslokalerna inte ska försvinna vid en avverkning. Av det samrådsanmälda området överlappar 0.69 ha med buffertzonerna och får av detta skäl inte avverkas.</w:t>
      </w:r>
    </w:p>
    <w:p>
      <w:pPr>
        <w:pStyle w:val="Caption"/>
      </w:pPr>
      <w:r>
        <w:drawing>
          <wp:inline xmlns:a="http://schemas.openxmlformats.org/drawingml/2006/main" xmlns:pic="http://schemas.openxmlformats.org/drawingml/2006/picture">
            <wp:extent cx="5486400" cy="6157125"/>
            <wp:docPr id="2" name="Picture 2"/>
            <wp:cNvGraphicFramePr>
              <a:graphicFrameLocks noChangeAspect="1"/>
            </wp:cNvGraphicFramePr>
            <a:graphic>
              <a:graphicData uri="http://schemas.openxmlformats.org/drawingml/2006/picture">
                <pic:pic>
                  <pic:nvPicPr>
                    <pic:cNvPr id="0" name="S 1959-2025 karta knärot.png"/>
                    <pic:cNvPicPr/>
                  </pic:nvPicPr>
                  <pic:blipFill>
                    <a:blip r:embed="rId17"/>
                    <a:stretch>
                      <a:fillRect/>
                    </a:stretch>
                  </pic:blipFill>
                  <pic:spPr>
                    <a:xfrm>
                      <a:off x="0" y="0"/>
                      <a:ext cx="5486400" cy="6157125"/>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6980138, E 605705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På lokaler med riklig förekomst av varglav kan man hitta den sällsynta lavparasiten varglavsknöl (VU), som är knuten till varglav (SLU Artdatabanken, 2024; Nitare &amp; Skogsstyrelsen, 2019).</w:t>
      </w:r>
    </w:p>
    <w:p>
      <w:r>
        <w:rPr>
          <w:b/>
        </w:rPr>
        <w:t>Veckticka (NT)</w:t>
      </w:r>
      <w:r>
        <w:t xml:space="preserve"> förekommer främst i äldre naturskogsartad löv- och blandskog i sena åldersstadier med gamla, döende och döda aspar. Avverkning eller gallring av aspbestånd är ett hot och aspskogar och asprika blandskogar måste bevaras i högre utsträckning än hittills. Sumpskog med asp och sälg har ett särskilt högt naturvärde och bör skyddas helt från skogsbruk. Veckticka är typisk art för </w:t>
      </w:r>
      <w:r>
        <w:rPr>
          <w:i/>
        </w:rPr>
        <w:t xml:space="preserve">9010 Taiga </w:t>
      </w:r>
      <w:r>
        <w:t xml:space="preserve">och </w:t>
      </w:r>
      <w:r>
        <w:rPr>
          <w:i/>
        </w:rPr>
        <w:t>9030 Landhöjningsskog</w:t>
      </w:r>
      <w:r>
        <w:t xml:space="preserve">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