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22516-2025 i Sollefteå kommun</w:t>
      </w:r>
    </w:p>
    <w:p>
      <w:r>
        <w:t>Detta dokument behandlar höga naturvärden i avverkningsanmälan A 22516-2025 i Sollefteå kommun. Denna avverkningsanmälan inkom 2025-05-09 16:16:20 och omfattar 26,7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30 naturvårdsarter hittats: rynkskinn (VU), sprickporing (VU), gammelgransskål (NT), garnlav (NT), granticka (NT), harticka (NT), järpe (NT, §4), Leptoporus mollis (NT), lunglav (NT), rosenticka (NT), stjärntagging (NT), svartvit flugsnappare (NT, §4), tallticka (NT), tretåig hackspett (NT, §4), ullticka (NT), vedskivlav (NT), violmussling (NT), vitgrynig nållav (NT), bollvitmossa (S), bårdlav (S), dropptaggsvamp (S), lappranunkel (S, §7), luddlav (S), norrlandslav (S), skinnlav (S), spindelblomster (S, §8), stuplav (S), vedticka (S), kungsfågel (§4) och revlummer (§9). Av dessa är 18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087337"/>
            <wp:docPr id="1" name="Picture 1"/>
            <wp:cNvGraphicFramePr>
              <a:graphicFrameLocks noChangeAspect="1"/>
            </wp:cNvGraphicFramePr>
            <a:graphic>
              <a:graphicData uri="http://schemas.openxmlformats.org/drawingml/2006/picture">
                <pic:pic>
                  <pic:nvPicPr>
                    <pic:cNvPr id="0" name="A 22516-2025 karta.png"/>
                    <pic:cNvPicPr/>
                  </pic:nvPicPr>
                  <pic:blipFill>
                    <a:blip r:embed="rId16"/>
                    <a:stretch>
                      <a:fillRect/>
                    </a:stretch>
                  </pic:blipFill>
                  <pic:spPr>
                    <a:xfrm>
                      <a:off x="0" y="0"/>
                      <a:ext cx="5486400" cy="608733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7054537, E 600063 i SWEREF 99 TM.</w:t>
      </w:r>
    </w:p>
    <w:p>
      <w:r>
        <w:rPr>
          <w:b/>
        </w:rPr>
        <w:t xml:space="preserve">Bollvitmossa </w:t>
      </w:r>
      <w:r>
        <w:t>är en bra signalart inom hela sitt utbredningsområde. Vanligast är den i naturvårdsintressanta tallsumpskogar. Även gransumpskogar med bollvitmossa har normalt höga naturvärden. Arten indikerar skogsmark med stabila hydrologiska förhållanden och sannolikt även lång skoglig kontinuitet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(SLU Artdatabanken, 2024;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(SLU Artdatabanken, 2024; Nitare &amp; Skogsstyrelsen, 2019).</w:t>
      </w:r>
    </w:p>
    <w:p>
      <w:r>
        <w:rPr>
          <w:b/>
          <w:i/>
        </w:rPr>
        <w:t xml:space="preserve">Leptoporus mollis </w:t>
      </w:r>
      <w:r>
        <w:rPr>
          <w:b/>
        </w:rPr>
        <w:t>(NT)</w:t>
      </w:r>
      <w:r>
        <w:t xml:space="preserve"> är granens kötticka och har klassificerats som ”gammelskogsindikator”, då den förekommer med ett tydligt optimum i äldre barrskogar, främst fuktiga granskogar. Den har högst signalvärde söder om den naturliga norrlandsgränsen </w:t>
      </w:r>
      <w:r>
        <w:rPr>
          <w:i/>
        </w:rPr>
        <w:t>limes norrlandicus</w:t>
      </w:r>
      <w:r>
        <w:t>, men signalerar vanligtvis höga naturvärden även i Norrland. Arten är knuten till miljöer med konstant luftfuktighet och känslig för uttorkning som en avverkning kan medföra. Den totala populationen bedöms därför ha minskat under de senaste 30 åren och fortsätter att minska i takt med att grankontinuitetsskogar (skogar som inte kalavverkats) minskar i areal, samtidigt som att lämpliga miljöer inte återskapas i samma takt (SLU Artdatabanken, 2024; Nitare &amp; Skogsstyrelsen, 2019).</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Det finns ett antal sällsynta lavparasiter som växer på lunglav: lunglavsknapp (VU), skrovelmössing (DD), lunglavshårprick (DD), </w:t>
      </w:r>
      <w:r>
        <w:rPr>
          <w:i/>
        </w:rPr>
        <w:t>Calycina alstrupii</w:t>
      </w:r>
      <w:r>
        <w:t xml:space="preserve"> (NA) och </w:t>
      </w:r>
      <w:r>
        <w:rPr>
          <w:i/>
        </w:rPr>
        <w:t>Chalara lobariae</w:t>
      </w:r>
      <w:r>
        <w:t xml:space="preserve"> (NA) (SLU Artdatabanken, 2025; SLU Artdatabanken, 2024; Nitare &amp; Skogsstyrelsen, 2019).</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r>
        <w:rPr>
          <w:b/>
        </w:rPr>
        <w:t>Rynkskinn (VU)</w:t>
      </w:r>
      <w:r>
        <w:t>,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(Nitare &amp; Skogsstyrelsen, 2019; SLU Artdatabanken, 2024).</w:t>
      </w:r>
    </w:p>
    <w:p>
      <w:r>
        <w:rPr>
          <w:b/>
        </w:rPr>
        <w:t xml:space="preserve">Skinnlav </w:t>
      </w:r>
      <w:r>
        <w:t>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(Nitare &amp; Skogsstyrelsen, 2019).</w:t>
      </w:r>
    </w:p>
    <w:p>
      <w:r>
        <w:rPr>
          <w:b/>
        </w:rPr>
        <w:t>Sprickporing (VU)</w:t>
      </w:r>
      <w:r>
        <w:t>, rödlistad som sårbar, är en sällsynt art som växer på senvuxen gran i lågproduktiva miljöer, ett substrat som nybildas i mycket liten skala i modern produktionsskog. Arten bedöms ha minskat kraftigt, med mer än 30 % över de senaste 20 åren, huvudsakligen på grund av slutavverkningar. I bestånd där arten förekommer måste skogsbruk undvikas. Fler av artens lokaler bör skyddas (SLU Artdatabanken, 2024).</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r>
        <w:rPr>
          <w:b/>
        </w:rPr>
        <w:t xml:space="preserve">Tallticka (NT) </w:t>
      </w:r>
      <w:r>
        <w:t>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(SLU Artdatabanken, 2023;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(SLU Artdatabanken, 2024).</w:t>
      </w:r>
    </w:p>
    <w:p>
      <w:r>
        <w:rPr>
          <w:b/>
        </w:rPr>
        <w:t>Violmussling (NT)</w:t>
      </w:r>
      <w:r>
        <w:t xml:space="preserve"> växer på döda, oftast omkullfallna stammar av gran eller tall. De flesta fynden har gjorts i gammal, orörd skog och arten är en mycket god indikator på förekomst av lång skoglig kontinuitet. Platser som hyser stora bestånd av violmussling bör i första hand skyddas och undantas från skogsbruk. Flera sällsynta och mycket sällsynta tickor och skalbaggar är mer eller mindre starkt associerade med violtickor </w:t>
      </w:r>
      <w:r>
        <w:rPr>
          <w:i/>
        </w:rPr>
        <w:t>Trichaptum spp.</w:t>
      </w:r>
      <w:r>
        <w:t xml:space="preserve"> och död ved som först rötats av någon </w:t>
      </w:r>
      <w:r>
        <w:rPr>
          <w:i/>
        </w:rPr>
        <w:t>Trichaptum-art</w:t>
      </w:r>
      <w:r>
        <w:t>. Bland dessa kan nämnas brunkantad brunbagge</w:t>
      </w:r>
      <w:r>
        <w:rPr>
          <w:i/>
        </w:rPr>
        <w:t xml:space="preserve"> </w:t>
      </w:r>
      <w:r>
        <w:t>(RE), gul mjukporing (CR), lämmelporing (EN), parasitporing (VU), gropig brunbagge (NT), gulbandad brunbagge</w:t>
      </w:r>
      <w:r>
        <w:rPr>
          <w:i/>
        </w:rPr>
        <w:t xml:space="preserve"> </w:t>
      </w:r>
      <w:r>
        <w:t>(NT) och kilporing (NT) (SLU Artdatabanken, 2024;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pPr>
        <w:pStyle w:val="Heading1"/>
      </w:pPr>
      <w:r>
        <w:t>Fridlysta arter</w:t>
      </w:r>
    </w:p>
    <w:p>
      <w:r>
        <w:t>Följande fridlysta arter har sina livsmiljöer och växtplatser i den avverkningsanmälda skogen: järpe (NT, §4), svartvit flugsnappare (NT, §4), tretåig hackspett (NT, §4), lappranunkel (S, §7), spindelblomster (S, §8), kungsfågel (§4)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Järpe (NT, §4)</w:t>
      </w:r>
      <w:r>
        <w:t>, rödlistad som nära hotad och prioriterad art i Skogsvårdslagen har häckningsrevir i avverkningsanmälan. Arten har minskat med 25 (10–40) % under de senaste 12 åren och är mycket stationär inom sitt revir som är minst 25 hektar stort. Dess livsmiljöer utgörs av tät barrskog med inblandning av lövträd och en väl utvecklad flerskiktad struktur med bärris och yngre eller undertryckta, täta granar i ett lägre skikt, ofta utmed bäckar och åar inne i den skyddande granskogen. Järpen överlever inte om dess livsmiljö kalavverkas och är även känslig för röjning, gallring och avverkning där unga granar och lövträd inte sparas i tillräcklig omfattning (SLU Artdatabanken, 2022).</w:t>
      </w:r>
    </w:p>
    <w:p>
      <w:r>
        <w:rPr>
          <w:b/>
        </w:rPr>
        <w:t>Lappranunkel (§7)</w:t>
      </w:r>
      <w:r>
        <w:t xml:space="preserve"> omfattas av EU:s art- och habitatdirektiv och är fridlyst enligt 7 § artskyddsförordningen vilket innebär att artens livsmiljöer inte får förstöras. Den är knuten till granskogsmiljöer med ytligt liggande markvatten och konstant hög luftfuktighet. Arten är känslig för kalavverkning och markskador men kan kortvarigt står kvar en tid i fuktsvackor efter en avverkning. Lokaler med lappranunkel får inte avverkas (Nitare &amp; Skogsstyrelsen, 2019; SLU Artdatabanken, 2024).</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28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30 naturvårdsarter varav 18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Järpe – ekologi samt krav på livsmiljön</w:t>
      </w:r>
    </w:p>
    <w:p>
      <w:r>
        <w:t>Järpe är rödlistad som nära hotad (NT), fridlyst enligt 4§ Artskyddsförordningen och prioriterad art i Skogsvårdslagen. Järpen, som minskat med 25 (10–40) % under de senaste 12 åren, har sina livsmiljöer i tät barrskog med inblandning av lövträd och en väl utvecklad flerskiktad struktur med bärris och yngre eller undertryckta, täta granar i ett lägre skikt, ofta utmed bäckar och åar inne i den skyddande granskogen.</w:t>
      </w:r>
    </w:p>
    <w:p>
      <w:r>
        <w:t>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(SLU Artdatabanken, 2022).</w:t>
      </w:r>
    </w:p>
    <w:p>
      <w:pPr>
        <w:pStyle w:val="Heading2"/>
      </w:pPr>
      <w:r>
        <w:t>Referenser – järpe</w:t>
      </w:r>
    </w:p>
    <w:p>
      <w:r>
        <w:t xml:space="preserve">SLU Artdatabanken, 2022. </w:t>
      </w:r>
      <w:r>
        <w:rPr>
          <w:i/>
        </w:rPr>
        <w:t xml:space="preserve">Artfaktablad. Naturvård – artfakta. </w:t>
      </w:r>
      <w:r>
        <w:t>SLU Artdatabanken, Uppsala</w:t>
      </w:r>
    </w:p>
    <w:p>
      <w:pPr>
        <w:pStyle w:val="Heading1"/>
      </w:pPr>
      <w:r>
        <w:t>Lappranunkel – ekologi samt krav på livsmiljön</w:t>
      </w:r>
    </w:p>
    <w:p>
      <w:r>
        <w:t>Lappranunkel (§7) omfattas av EU:s art- och habitatdirektiv och fridlyst enligt 7 § artskyddsförordningen vilket innebär att artens livsmiljöer inte får förstöras.</w:t>
      </w:r>
    </w:p>
    <w:p>
      <w:pPr>
        <w:pStyle w:val="ListBullet"/>
      </w:pPr>
      <w:r>
        <w:t xml:space="preserve">7 § </w:t>
      </w:r>
      <w:r>
        <w:rPr>
          <w:i/>
        </w:rPr>
        <w:t>I fråga om sådana växtarter som i bilaga 1 till denna förordning har markerats med N är det förbjudet att avsiktligt plocka, samla in, skära av, dra upp med rötterna eller förstöra växter i deras naturliga utbredningsområde i naturen. Förbudet gäller alla stadier i växternas biologiska cykel.</w:t>
      </w:r>
    </w:p>
    <w:p>
      <w:r>
        <w:t>Lappranunkel är knuten till granskogsmiljöer med ytligt liggande markvatten och konstant hög luftfuktighet. Arten är känslig för kalavverkning och markskador men kan kortvarigt står kvar en tid i fuktsvackor efter en avverkning. Dikade lokaler bör restaureras hydrologiskt. Lokaler med lappranunkel får inte avverkas (Nitare, 2019; SLU Artdatabanken, 2024).</w:t>
      </w:r>
    </w:p>
    <w:p>
      <w:pPr>
        <w:pStyle w:val="Heading2"/>
      </w:pPr>
      <w:r>
        <w:t>Referenser – lappranunkel</w:t>
      </w:r>
    </w:p>
    <w:p>
      <w:r>
        <w:t xml:space="preserve">Nitare, J.,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ett antal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Nyligen har ytterligare två lavparasiter påträffats i Sverige som växer på lunglav: </w:t>
      </w:r>
      <w:r>
        <w:rPr>
          <w:i/>
        </w:rPr>
        <w:t>Calycina alstrupii</w:t>
      </w:r>
      <w:r>
        <w:t xml:space="preserve"> (NA) och </w:t>
      </w:r>
      <w:r>
        <w:rPr>
          <w:i/>
        </w:rPr>
        <w:t>Chalara lobariae</w:t>
      </w:r>
      <w:r>
        <w:t xml:space="preserve"> (NA) (SLU Artdatabanken, 2025;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r>
        <w:t xml:space="preserve">SLU Artdatabanken, 2025. </w:t>
      </w:r>
      <w:r>
        <w:rPr>
          <w:i/>
        </w:rPr>
        <w:t xml:space="preserve">Över 20 nya lavparasiter för Sverige. </w:t>
      </w:r>
      <w:r>
        <w:t>https://www.slu.se/artdatabanken/arter-och-natur/artiklar/over-20-nya-lavparasiter-for-sverige/</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